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D4F" w:rsidRPr="00F0580A" w:rsidRDefault="00524D4F" w:rsidP="00524D4F">
      <w:pPr>
        <w:spacing w:after="120" w:line="240" w:lineRule="auto"/>
        <w:jc w:val="both"/>
        <w:rPr>
          <w:rFonts w:ascii="Times New Roman" w:eastAsia="Times New Roman" w:hAnsi="Times New Roman" w:cs="Times New Roman"/>
          <w:b/>
          <w:bCs/>
          <w:sz w:val="24"/>
          <w:szCs w:val="24"/>
        </w:rPr>
      </w:pPr>
      <w:r w:rsidRPr="00F0580A">
        <w:rPr>
          <w:rFonts w:ascii="Times New Roman" w:eastAsia="Times New Roman" w:hAnsi="Times New Roman" w:cs="Times New Roman"/>
          <w:b/>
          <w:bCs/>
          <w:sz w:val="24"/>
          <w:szCs w:val="24"/>
        </w:rPr>
        <w:t>Bērnu veselības riski un k</w:t>
      </w:r>
      <w:r>
        <w:rPr>
          <w:rFonts w:ascii="Times New Roman" w:eastAsia="Times New Roman" w:hAnsi="Times New Roman" w:cs="Times New Roman"/>
          <w:b/>
          <w:bCs/>
          <w:sz w:val="24"/>
          <w:szCs w:val="24"/>
        </w:rPr>
        <w:t>onsekvences pandēmijas laikmetā</w:t>
      </w:r>
    </w:p>
    <w:p w:rsidR="00524D4F" w:rsidRPr="00F0580A" w:rsidRDefault="00524D4F" w:rsidP="00524D4F">
      <w:pPr>
        <w:spacing w:after="0" w:line="240" w:lineRule="auto"/>
        <w:jc w:val="both"/>
        <w:rPr>
          <w:rFonts w:ascii="Times New Roman" w:eastAsia="Times New Roman" w:hAnsi="Times New Roman" w:cs="Times New Roman"/>
          <w:i/>
          <w:sz w:val="24"/>
          <w:szCs w:val="24"/>
        </w:rPr>
      </w:pPr>
      <w:r w:rsidRPr="00F0580A">
        <w:rPr>
          <w:rFonts w:ascii="Times New Roman" w:eastAsia="Times New Roman" w:hAnsi="Times New Roman" w:cs="Times New Roman"/>
          <w:i/>
          <w:sz w:val="24"/>
          <w:szCs w:val="24"/>
        </w:rPr>
        <w:t>Dr.habil.med.</w:t>
      </w:r>
      <w:r>
        <w:rPr>
          <w:rFonts w:ascii="Times New Roman" w:eastAsia="Times New Roman" w:hAnsi="Times New Roman" w:cs="Times New Roman"/>
          <w:i/>
          <w:sz w:val="24"/>
          <w:szCs w:val="24"/>
        </w:rPr>
        <w:t xml:space="preserve"> </w:t>
      </w:r>
      <w:r w:rsidRPr="00F0580A">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ngrīda R</w:t>
      </w:r>
      <w:r w:rsidRPr="00F0580A">
        <w:rPr>
          <w:rFonts w:ascii="Times New Roman" w:eastAsia="Times New Roman" w:hAnsi="Times New Roman" w:cs="Times New Roman"/>
          <w:i/>
          <w:sz w:val="24"/>
          <w:szCs w:val="24"/>
        </w:rPr>
        <w:t>umba-Rozenfelde</w:t>
      </w:r>
    </w:p>
    <w:p w:rsidR="00524D4F" w:rsidRPr="00F0580A" w:rsidRDefault="00524D4F" w:rsidP="00524D4F">
      <w:pPr>
        <w:spacing w:after="120" w:line="240" w:lineRule="auto"/>
        <w:jc w:val="both"/>
        <w:rPr>
          <w:rFonts w:ascii="Times New Roman" w:eastAsia="Times New Roman" w:hAnsi="Times New Roman" w:cs="Times New Roman"/>
          <w:i/>
          <w:sz w:val="24"/>
          <w:szCs w:val="24"/>
        </w:rPr>
      </w:pPr>
      <w:r w:rsidRPr="00F0580A">
        <w:rPr>
          <w:rFonts w:ascii="Times New Roman" w:eastAsia="Times New Roman" w:hAnsi="Times New Roman" w:cs="Times New Roman"/>
          <w:i/>
          <w:sz w:val="24"/>
          <w:szCs w:val="24"/>
        </w:rPr>
        <w:t xml:space="preserve">LZA korespondētājlocekle, LU Pediatrijas katedras vadītāja, prof., </w:t>
      </w:r>
    </w:p>
    <w:p w:rsidR="00524D4F" w:rsidRPr="00F0580A" w:rsidRDefault="00524D4F" w:rsidP="00524D4F">
      <w:pPr>
        <w:shd w:val="clear" w:color="auto" w:fill="FFFFFF"/>
        <w:spacing w:after="120" w:line="240" w:lineRule="auto"/>
        <w:jc w:val="both"/>
        <w:rPr>
          <w:rFonts w:ascii="Times New Roman" w:eastAsia="Times New Roman" w:hAnsi="Times New Roman" w:cs="Times New Roman"/>
          <w:color w:val="000000"/>
          <w:sz w:val="24"/>
          <w:szCs w:val="24"/>
        </w:rPr>
      </w:pPr>
      <w:r w:rsidRPr="00F0580A">
        <w:rPr>
          <w:rFonts w:ascii="Times New Roman" w:eastAsia="Times New Roman" w:hAnsi="Times New Roman" w:cs="Times New Roman"/>
          <w:color w:val="000000"/>
          <w:sz w:val="24"/>
          <w:szCs w:val="24"/>
          <w:shd w:val="clear" w:color="auto" w:fill="FFFFFF"/>
        </w:rPr>
        <w:t xml:space="preserve">Izpratne par bērnu veselību un tās </w:t>
      </w:r>
      <w:proofErr w:type="spellStart"/>
      <w:r w:rsidRPr="00F0580A">
        <w:rPr>
          <w:rFonts w:ascii="Times New Roman" w:eastAsia="Times New Roman" w:hAnsi="Times New Roman" w:cs="Times New Roman"/>
          <w:color w:val="000000"/>
          <w:sz w:val="24"/>
          <w:szCs w:val="24"/>
          <w:shd w:val="clear" w:color="auto" w:fill="FFFFFF"/>
        </w:rPr>
        <w:t>determinantēm</w:t>
      </w:r>
      <w:proofErr w:type="spellEnd"/>
      <w:r w:rsidRPr="00F0580A">
        <w:rPr>
          <w:rFonts w:ascii="Times New Roman" w:eastAsia="Times New Roman" w:hAnsi="Times New Roman" w:cs="Times New Roman"/>
          <w:color w:val="000000"/>
          <w:sz w:val="24"/>
          <w:szCs w:val="24"/>
          <w:shd w:val="clear" w:color="auto" w:fill="FFFFFF"/>
        </w:rPr>
        <w:t xml:space="preserve"> , to savstarpējo mijiedarbību. Bērnu veselību raksturo iespēja īstenot pilnā mērā pieaugušā potenciālu. Bērnu veselību ietekmē arī  riska faktori dažādos vecuma posmos (globālie apdraudējumi-ekoloģiskā krīze, piesārņojums, infekciju slimības, uztura </w:t>
      </w:r>
      <w:proofErr w:type="spellStart"/>
      <w:r w:rsidRPr="00F0580A">
        <w:rPr>
          <w:rFonts w:ascii="Times New Roman" w:eastAsia="Times New Roman" w:hAnsi="Times New Roman" w:cs="Times New Roman"/>
          <w:color w:val="000000"/>
          <w:sz w:val="24"/>
          <w:szCs w:val="24"/>
          <w:shd w:val="clear" w:color="auto" w:fill="FFFFFF"/>
        </w:rPr>
        <w:t>mediētas</w:t>
      </w:r>
      <w:proofErr w:type="spellEnd"/>
      <w:r w:rsidRPr="00F0580A">
        <w:rPr>
          <w:rFonts w:ascii="Times New Roman" w:eastAsia="Times New Roman" w:hAnsi="Times New Roman" w:cs="Times New Roman"/>
          <w:color w:val="000000"/>
          <w:sz w:val="24"/>
          <w:szCs w:val="24"/>
          <w:shd w:val="clear" w:color="auto" w:fill="FFFFFF"/>
        </w:rPr>
        <w:t xml:space="preserve"> slimības, atkarību izraisošas vielas, traumas, vardarbība </w:t>
      </w:r>
      <w:proofErr w:type="spellStart"/>
      <w:r w:rsidRPr="00F0580A">
        <w:rPr>
          <w:rFonts w:ascii="Times New Roman" w:eastAsia="Times New Roman" w:hAnsi="Times New Roman" w:cs="Times New Roman"/>
          <w:color w:val="000000"/>
          <w:sz w:val="24"/>
          <w:szCs w:val="24"/>
          <w:shd w:val="clear" w:color="auto" w:fill="FFFFFF"/>
        </w:rPr>
        <w:t>uc</w:t>
      </w:r>
      <w:proofErr w:type="spellEnd"/>
      <w:r w:rsidRPr="00F0580A">
        <w:rPr>
          <w:rFonts w:ascii="Times New Roman" w:eastAsia="Times New Roman" w:hAnsi="Times New Roman" w:cs="Times New Roman"/>
          <w:color w:val="000000"/>
          <w:sz w:val="24"/>
          <w:szCs w:val="24"/>
          <w:shd w:val="clear" w:color="auto" w:fill="FFFFFF"/>
        </w:rPr>
        <w:t xml:space="preserve">.) . Bērnu veselības iespējamie apdraudējumi </w:t>
      </w:r>
      <w:proofErr w:type="spellStart"/>
      <w:r w:rsidRPr="00F0580A">
        <w:rPr>
          <w:rFonts w:ascii="Times New Roman" w:eastAsia="Times New Roman" w:hAnsi="Times New Roman" w:cs="Times New Roman"/>
          <w:color w:val="000000"/>
          <w:sz w:val="24"/>
          <w:szCs w:val="24"/>
          <w:shd w:val="clear" w:color="auto" w:fill="FFFFFF"/>
        </w:rPr>
        <w:t>pirmspandēmijas</w:t>
      </w:r>
      <w:proofErr w:type="spellEnd"/>
      <w:r w:rsidRPr="00F0580A">
        <w:rPr>
          <w:rFonts w:ascii="Times New Roman" w:eastAsia="Times New Roman" w:hAnsi="Times New Roman" w:cs="Times New Roman"/>
          <w:color w:val="000000"/>
          <w:sz w:val="24"/>
          <w:szCs w:val="24"/>
          <w:shd w:val="clear" w:color="auto" w:fill="FFFFFF"/>
        </w:rPr>
        <w:t xml:space="preserve"> un pandēmijas laikā un to  potenciālās sekas pandēmijas periodā, ceļi to novēršanai, bērnu mirstības mazināšanai.</w:t>
      </w:r>
    </w:p>
    <w:p w:rsidR="00524D4F" w:rsidRPr="00F0580A" w:rsidRDefault="00524D4F" w:rsidP="00524D4F">
      <w:pPr>
        <w:spacing w:after="120" w:line="240" w:lineRule="auto"/>
        <w:jc w:val="both"/>
        <w:rPr>
          <w:rFonts w:ascii="Times New Roman" w:hAnsi="Times New Roman" w:cs="Times New Roman"/>
          <w:sz w:val="24"/>
          <w:szCs w:val="24"/>
        </w:rPr>
      </w:pPr>
    </w:p>
    <w:p w:rsidR="00524D4F" w:rsidRPr="00F0580A" w:rsidRDefault="00524D4F" w:rsidP="00524D4F">
      <w:pPr>
        <w:spacing w:after="120" w:line="240" w:lineRule="auto"/>
        <w:jc w:val="both"/>
        <w:rPr>
          <w:rFonts w:ascii="Times New Roman" w:hAnsi="Times New Roman" w:cs="Times New Roman"/>
          <w:b/>
          <w:color w:val="000000"/>
          <w:sz w:val="24"/>
          <w:szCs w:val="24"/>
          <w:shd w:val="clear" w:color="auto" w:fill="FFFFFF"/>
          <w:lang w:val="en-GB"/>
        </w:rPr>
      </w:pPr>
      <w:r w:rsidRPr="00F0580A">
        <w:rPr>
          <w:rFonts w:ascii="Times New Roman" w:hAnsi="Times New Roman" w:cs="Times New Roman"/>
          <w:b/>
          <w:color w:val="000000"/>
          <w:sz w:val="24"/>
          <w:szCs w:val="24"/>
          <w:shd w:val="clear" w:color="auto" w:fill="FFFFFF"/>
          <w:lang w:val="en-GB"/>
        </w:rPr>
        <w:t>Child health risks and c</w:t>
      </w:r>
      <w:r>
        <w:rPr>
          <w:rFonts w:ascii="Times New Roman" w:hAnsi="Times New Roman" w:cs="Times New Roman"/>
          <w:b/>
          <w:color w:val="000000"/>
          <w:sz w:val="24"/>
          <w:szCs w:val="24"/>
          <w:shd w:val="clear" w:color="auto" w:fill="FFFFFF"/>
          <w:lang w:val="en-GB"/>
        </w:rPr>
        <w:t>onsequences during the pandemic</w:t>
      </w:r>
    </w:p>
    <w:p w:rsidR="00524D4F" w:rsidRPr="00F0580A" w:rsidRDefault="00524D4F" w:rsidP="00524D4F">
      <w:pPr>
        <w:spacing w:after="0" w:line="240" w:lineRule="auto"/>
        <w:jc w:val="both"/>
        <w:rPr>
          <w:rFonts w:ascii="Times New Roman" w:eastAsia="Times New Roman" w:hAnsi="Times New Roman" w:cs="Times New Roman"/>
          <w:i/>
          <w:sz w:val="24"/>
          <w:szCs w:val="24"/>
          <w:lang w:val="en-GB"/>
        </w:rPr>
      </w:pPr>
      <w:proofErr w:type="spellStart"/>
      <w:r w:rsidRPr="00F0580A">
        <w:rPr>
          <w:rFonts w:ascii="Times New Roman" w:hAnsi="Times New Roman" w:cs="Times New Roman"/>
          <w:i/>
          <w:sz w:val="24"/>
          <w:szCs w:val="24"/>
          <w:lang w:val="en"/>
        </w:rPr>
        <w:t>Dr.habil.med</w:t>
      </w:r>
      <w:proofErr w:type="spellEnd"/>
      <w:r w:rsidRPr="00F0580A">
        <w:rPr>
          <w:rFonts w:ascii="Times New Roman" w:hAnsi="Times New Roman" w:cs="Times New Roman"/>
          <w:i/>
          <w:sz w:val="24"/>
          <w:szCs w:val="24"/>
          <w:lang w:val="en"/>
        </w:rPr>
        <w:t>.</w:t>
      </w:r>
      <w:r>
        <w:rPr>
          <w:rFonts w:ascii="Times New Roman" w:hAnsi="Times New Roman" w:cs="Times New Roman"/>
          <w:i/>
          <w:sz w:val="24"/>
          <w:szCs w:val="24"/>
          <w:lang w:val="en"/>
        </w:rPr>
        <w:t xml:space="preserve"> prof. </w:t>
      </w:r>
      <w:r w:rsidRPr="00F0580A">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ngrida</w:t>
      </w:r>
      <w:r w:rsidRPr="00F0580A">
        <w:rPr>
          <w:rFonts w:ascii="Times New Roman" w:eastAsia="Times New Roman" w:hAnsi="Times New Roman" w:cs="Times New Roman"/>
          <w:i/>
          <w:sz w:val="24"/>
          <w:szCs w:val="24"/>
          <w:lang w:val="en-GB"/>
        </w:rPr>
        <w:t xml:space="preserve"> Rumba-Rozenfelde</w:t>
      </w:r>
    </w:p>
    <w:p w:rsidR="00524D4F" w:rsidRDefault="00524D4F" w:rsidP="00524D4F">
      <w:pPr>
        <w:spacing w:after="120" w:line="240" w:lineRule="auto"/>
        <w:jc w:val="both"/>
        <w:rPr>
          <w:rFonts w:ascii="Times New Roman" w:hAnsi="Times New Roman" w:cs="Times New Roman"/>
          <w:i/>
          <w:sz w:val="24"/>
          <w:szCs w:val="24"/>
          <w:lang w:val="en"/>
        </w:rPr>
      </w:pPr>
      <w:r w:rsidRPr="00F0580A">
        <w:rPr>
          <w:rFonts w:ascii="Times New Roman" w:hAnsi="Times New Roman" w:cs="Times New Roman"/>
          <w:i/>
          <w:sz w:val="24"/>
          <w:szCs w:val="24"/>
          <w:lang w:val="en"/>
        </w:rPr>
        <w:t>Corresponding member of the L</w:t>
      </w:r>
      <w:r>
        <w:rPr>
          <w:rFonts w:ascii="Times New Roman" w:hAnsi="Times New Roman" w:cs="Times New Roman"/>
          <w:i/>
          <w:sz w:val="24"/>
          <w:szCs w:val="24"/>
          <w:lang w:val="en"/>
        </w:rPr>
        <w:t>AS</w:t>
      </w:r>
      <w:r w:rsidRPr="00F0580A">
        <w:rPr>
          <w:rFonts w:ascii="Times New Roman" w:hAnsi="Times New Roman" w:cs="Times New Roman"/>
          <w:i/>
          <w:sz w:val="24"/>
          <w:szCs w:val="24"/>
          <w:lang w:val="en"/>
        </w:rPr>
        <w:t xml:space="preserve">, Head of the Department of Pediatrics of the University of Latvia, </w:t>
      </w:r>
    </w:p>
    <w:p w:rsidR="00524D4F" w:rsidRPr="00F0580A" w:rsidRDefault="00524D4F" w:rsidP="00524D4F">
      <w:pPr>
        <w:spacing w:after="120" w:line="240" w:lineRule="auto"/>
        <w:jc w:val="both"/>
        <w:rPr>
          <w:rFonts w:ascii="Times New Roman" w:hAnsi="Times New Roman" w:cs="Times New Roman"/>
          <w:sz w:val="24"/>
          <w:szCs w:val="24"/>
          <w:lang w:val="en-GB"/>
        </w:rPr>
      </w:pPr>
      <w:r w:rsidRPr="00F0580A">
        <w:rPr>
          <w:rFonts w:ascii="Times New Roman" w:hAnsi="Times New Roman" w:cs="Times New Roman"/>
          <w:sz w:val="24"/>
          <w:szCs w:val="24"/>
          <w:lang w:val="en-GB"/>
        </w:rPr>
        <w:t>Understanding child health, its determinants and their interactions. Child health holds the key to achieving their full potential as an adult. Child health is also influenced by risk factors at different ages (global threats- ecological crisis, pollution, infectious diseases, nutrition mediated diseases, addictive substances, trauma, violence, etc.). Possible threats to child health before and during the pandemic and their potential consequences during the pandemic, ways to prevent them and reduce child mortality.</w:t>
      </w:r>
    </w:p>
    <w:p w:rsidR="008D21C0" w:rsidRDefault="008D21C0">
      <w:bookmarkStart w:id="0" w:name="_GoBack"/>
      <w:bookmarkEnd w:id="0"/>
    </w:p>
    <w:sectPr w:rsidR="008D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4F"/>
    <w:rsid w:val="00524D4F"/>
    <w:rsid w:val="008D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81B58-CE41-4982-B5EE-EF5AA0E1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4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2022-01-25T15:49:00Z</dcterms:created>
  <dcterms:modified xsi:type="dcterms:W3CDTF">2022-01-25T15:49:00Z</dcterms:modified>
</cp:coreProperties>
</file>