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3B19" w14:textId="5F0FF7CD" w:rsidR="009B79DA" w:rsidRDefault="009F51DF" w:rsidP="007E7CFB">
      <w:pPr>
        <w:pStyle w:val="Nosaukums"/>
        <w:spacing w:before="240" w:after="240"/>
        <w:jc w:val="left"/>
        <w:rPr>
          <w:b/>
          <w:sz w:val="24"/>
          <w:szCs w:val="24"/>
          <w:lang w:val="en-GB"/>
        </w:rPr>
      </w:pPr>
      <w:r w:rsidRPr="009F51DF">
        <w:rPr>
          <w:b/>
          <w:sz w:val="24"/>
          <w:szCs w:val="24"/>
          <w:lang w:val="en-GB"/>
        </w:rPr>
        <w:t xml:space="preserve">USE OF TERMINALLY FUNCTIONALIZED PROPARGYL SILANES FOR THE SYNTHESIS OF VARIOUS 5-MEMBERED HETEROCYCLES VIA 1,2-SILYL MIGRATION </w:t>
      </w:r>
    </w:p>
    <w:p w14:paraId="2986E874" w14:textId="6261A8CB" w:rsidR="0002638B" w:rsidRPr="0002638B" w:rsidRDefault="009F51DF" w:rsidP="007E7CFB">
      <w:pPr>
        <w:pStyle w:val="Nosaukums"/>
        <w:spacing w:before="240" w:after="240"/>
        <w:jc w:val="left"/>
        <w:rPr>
          <w:b/>
          <w:sz w:val="24"/>
          <w:szCs w:val="24"/>
          <w:lang w:val="en-GB"/>
        </w:rPr>
      </w:pPr>
      <w:r w:rsidRPr="008F73BF">
        <w:rPr>
          <w:b/>
          <w:sz w:val="24"/>
          <w:szCs w:val="24"/>
          <w:lang w:val="en-GB"/>
        </w:rPr>
        <w:t xml:space="preserve">TERMINĀLI FUNKCIONALIZĒTU PROPARGILSILĀNU </w:t>
      </w:r>
      <w:r w:rsidR="00746F5C" w:rsidRPr="008F73BF">
        <w:rPr>
          <w:b/>
          <w:sz w:val="24"/>
          <w:szCs w:val="24"/>
          <w:lang w:val="en-GB"/>
        </w:rPr>
        <w:t>PIELIETOJUMS</w:t>
      </w:r>
      <w:r w:rsidRPr="008F73BF">
        <w:rPr>
          <w:b/>
          <w:sz w:val="24"/>
          <w:szCs w:val="24"/>
          <w:lang w:val="en-GB"/>
        </w:rPr>
        <w:t xml:space="preserve"> DAŽĀDU 5-LOCEKĻU HETEROCIKLU SINTĒZĒ</w:t>
      </w:r>
      <w:r w:rsidR="00746F5C" w:rsidRPr="008F73BF">
        <w:rPr>
          <w:b/>
          <w:sz w:val="24"/>
          <w:szCs w:val="24"/>
          <w:lang w:val="en-GB"/>
        </w:rPr>
        <w:t>,</w:t>
      </w:r>
      <w:r w:rsidRPr="008F73BF">
        <w:rPr>
          <w:b/>
          <w:sz w:val="24"/>
          <w:szCs w:val="24"/>
          <w:lang w:val="en-GB"/>
        </w:rPr>
        <w:t xml:space="preserve"> IZMANTOJOT 1,2-SILILMIGRĀCIJU</w:t>
      </w:r>
      <w:r>
        <w:rPr>
          <w:b/>
          <w:sz w:val="24"/>
          <w:szCs w:val="24"/>
          <w:lang w:val="en-GB"/>
        </w:rPr>
        <w:t xml:space="preserve"> </w:t>
      </w:r>
    </w:p>
    <w:p w14:paraId="379070B9" w14:textId="7372DE02" w:rsidR="009E33AA" w:rsidRPr="00906726" w:rsidRDefault="00D379DB" w:rsidP="00237692">
      <w:pPr>
        <w:rPr>
          <w:b/>
          <w:sz w:val="24"/>
          <w:szCs w:val="24"/>
          <w:lang w:val="en-GB"/>
        </w:rPr>
      </w:pPr>
      <w:r w:rsidRPr="00D379DB">
        <w:rPr>
          <w:b/>
          <w:sz w:val="24"/>
          <w:szCs w:val="24"/>
          <w:lang w:val="en-GB"/>
        </w:rPr>
        <w:t>Rasma Kroņkalne, Rūdolfs Beļaunieks, Artjoms Ubaidullajevs, Māris Turks</w:t>
      </w:r>
      <w:r w:rsidRPr="00D379DB">
        <w:rPr>
          <w:b/>
          <w:sz w:val="24"/>
          <w:szCs w:val="24"/>
          <w:lang w:val="en-GB"/>
        </w:rPr>
        <w:t xml:space="preserve"> </w:t>
      </w:r>
    </w:p>
    <w:p w14:paraId="3B414718" w14:textId="49D46170" w:rsidR="009E33AA" w:rsidRDefault="00D379DB" w:rsidP="00867F63">
      <w:pPr>
        <w:pStyle w:val="Kjene"/>
        <w:spacing w:before="120"/>
        <w:rPr>
          <w:i/>
          <w:szCs w:val="22"/>
          <w:lang w:val="en-GB"/>
        </w:rPr>
      </w:pPr>
      <w:r>
        <w:rPr>
          <w:i/>
        </w:rPr>
        <w:t>Institute of Technology of Organic Chemistry, Faculty of Materials Science and Applied Chemistry, Riga Technical University, P.Valdena Str. 3, Riga, LV-1048, Latvia</w:t>
      </w:r>
      <w:r>
        <w:rPr>
          <w:i/>
        </w:rPr>
        <w:t>;</w:t>
      </w:r>
    </w:p>
    <w:p w14:paraId="0F606365" w14:textId="2AB2E2C0" w:rsidR="009E33AA" w:rsidRPr="00A34384" w:rsidRDefault="00320911" w:rsidP="005B1A48">
      <w:pPr>
        <w:pStyle w:val="Kjene"/>
        <w:spacing w:after="360"/>
        <w:rPr>
          <w:sz w:val="24"/>
          <w:lang w:val="it-IT"/>
        </w:rPr>
      </w:pPr>
      <w:r w:rsidRPr="00906726">
        <w:rPr>
          <w:i/>
          <w:snapToGrid w:val="0"/>
          <w:szCs w:val="22"/>
          <w:lang w:val="it-IT"/>
        </w:rPr>
        <w:t>e-</w:t>
      </w:r>
      <w:r w:rsidR="00912897" w:rsidRPr="00906726">
        <w:rPr>
          <w:i/>
          <w:snapToGrid w:val="0"/>
          <w:szCs w:val="22"/>
          <w:lang w:val="it-IT"/>
        </w:rPr>
        <w:t>mail</w:t>
      </w:r>
      <w:r w:rsidRPr="00906726">
        <w:rPr>
          <w:i/>
          <w:snapToGrid w:val="0"/>
          <w:szCs w:val="22"/>
          <w:lang w:val="it-IT"/>
        </w:rPr>
        <w:t xml:space="preserve">: </w:t>
      </w:r>
      <w:hyperlink r:id="rId7" w:history="1">
        <w:r w:rsidR="005404F4" w:rsidRPr="00C60ECB">
          <w:rPr>
            <w:rStyle w:val="Hipersaite"/>
            <w:i/>
            <w:snapToGrid w:val="0"/>
            <w:szCs w:val="22"/>
            <w:lang w:val="it-IT"/>
          </w:rPr>
          <w:t>rasma.kronkalne@rtu.lv</w:t>
        </w:r>
      </w:hyperlink>
      <w:r w:rsidR="003A168E">
        <w:rPr>
          <w:i/>
          <w:sz w:val="24"/>
          <w:szCs w:val="24"/>
          <w:lang w:val="en-GB"/>
        </w:rPr>
        <w:tab/>
      </w:r>
    </w:p>
    <w:p w14:paraId="189EF440" w14:textId="4A21D02D" w:rsidR="002436C3" w:rsidRDefault="002436C3" w:rsidP="002436C3">
      <w:pPr>
        <w:autoSpaceDE w:val="0"/>
        <w:autoSpaceDN w:val="0"/>
        <w:adjustRightInd w:val="0"/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>Small heterocycles, particularly those containing a 5-member</w:t>
      </w:r>
      <w:r w:rsidR="009A0EDB">
        <w:rPr>
          <w:sz w:val="24"/>
          <w:lang w:val="en-US"/>
        </w:rPr>
        <w:t>ed</w:t>
      </w:r>
      <w:r>
        <w:rPr>
          <w:sz w:val="24"/>
          <w:lang w:val="en-US"/>
        </w:rPr>
        <w:t xml:space="preserve"> cycle, are popular motifs in pharmaceuticals, displaying a broad range of biological properties</w:t>
      </w:r>
      <w:r w:rsidR="006D4556">
        <w:rPr>
          <w:sz w:val="24"/>
          <w:lang w:val="en-US"/>
        </w:rPr>
        <w:t xml:space="preserve"> </w:t>
      </w:r>
      <w:r w:rsidR="00746F5C">
        <w:rPr>
          <w:sz w:val="24"/>
          <w:lang w:val="en-US"/>
        </w:rPr>
        <w:t>[</w:t>
      </w:r>
      <w:r w:rsidR="00A5605A" w:rsidRPr="006D4556">
        <w:rPr>
          <w:sz w:val="24"/>
          <w:lang w:val="en-US"/>
        </w:rPr>
        <w:fldChar w:fldCharType="begin" w:fldLock="1"/>
      </w:r>
      <w:r w:rsidR="00A5605A" w:rsidRPr="006D4556">
        <w:rPr>
          <w:sz w:val="24"/>
          <w:lang w:val="en-US"/>
        </w:rPr>
        <w:instrText>ADDIN CSL_CITATION {"citationItems":[{"id":"ITEM-1","itemData":{"DOI":"10.1021/jm501100b","ISSN":"0022-2623","author":[{"dropping-particle":"","family":"Vitaku","given":"Edon","non-dropping-particle":"","parse-names":false,"suffix":""},{"dropping-particle":"","family":"Smith","given":"David T","non-dropping-particle":"","parse-names":false,"suffix":""},{"dropping-particle":"","family":"Njardarson","given":"Jon T","non-dropping-particle":"","parse-names":false,"suffix":""}],"container-title":"Journal of Medicinal Chemistry","id":"ITEM-1","issue":"24","issued":{"date-parts":[["2014","12","26"]]},"page":"10257-10274","title":"Analysis of the Structural Diversity, Substitution Patterns, and Frequency of Nitrogen Heterocycles among U.S. FDA Approved Pharmaceuticals","type":"article-journal","volume":"57"},"uris":["http://www.mendeley.com/documents/?uuid=7c4f5e8f-77dd-480a-94c7-2955bfa4fa0c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="00A5605A" w:rsidRPr="006D4556">
        <w:rPr>
          <w:sz w:val="24"/>
          <w:lang w:val="en-US"/>
        </w:rPr>
        <w:fldChar w:fldCharType="separate"/>
      </w:r>
      <w:r w:rsidR="00A5605A" w:rsidRPr="006D4556">
        <w:rPr>
          <w:noProof/>
          <w:sz w:val="24"/>
          <w:lang w:val="en-US"/>
        </w:rPr>
        <w:t>1</w:t>
      </w:r>
      <w:r w:rsidR="00A5605A" w:rsidRPr="006D4556">
        <w:rPr>
          <w:sz w:val="24"/>
          <w:lang w:val="en-US"/>
        </w:rPr>
        <w:fldChar w:fldCharType="end"/>
      </w:r>
      <w:r w:rsidR="00746F5C">
        <w:rPr>
          <w:sz w:val="24"/>
          <w:lang w:val="en-US"/>
        </w:rPr>
        <w:t>]</w:t>
      </w:r>
      <w:r>
        <w:rPr>
          <w:sz w:val="24"/>
          <w:lang w:val="en-US"/>
        </w:rPr>
        <w:t xml:space="preserve">. A well-established strategy for the synthesis of 5-membered saturated/partially saturated heterocycles involves intramolecular cyclization, made possible by internal nucleophile attack on </w:t>
      </w:r>
      <w:r>
        <w:rPr>
          <w:sz w:val="24"/>
          <w:lang w:val="en-US"/>
        </w:rPr>
        <w:t xml:space="preserve">carbocations. </w:t>
      </w:r>
    </w:p>
    <w:p w14:paraId="55B3D763" w14:textId="1B0B52B8" w:rsidR="0022322E" w:rsidRDefault="00987005" w:rsidP="0007533A">
      <w:pPr>
        <w:autoSpaceDE w:val="0"/>
        <w:autoSpaceDN w:val="0"/>
        <w:adjustRightInd w:val="0"/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In this work we </w:t>
      </w:r>
      <w:r w:rsidR="002436C3">
        <w:rPr>
          <w:sz w:val="24"/>
          <w:lang w:val="en-US"/>
        </w:rPr>
        <w:t>investigate</w:t>
      </w:r>
      <w:r>
        <w:rPr>
          <w:sz w:val="24"/>
          <w:lang w:val="en-US"/>
        </w:rPr>
        <w:t xml:space="preserve"> the use of </w:t>
      </w:r>
      <w:r w:rsidR="003A36A3">
        <w:rPr>
          <w:sz w:val="24"/>
          <w:lang w:val="en-US"/>
        </w:rPr>
        <w:t xml:space="preserve">electrophile induced </w:t>
      </w:r>
      <w:r w:rsidR="003A36A3">
        <w:rPr>
          <w:sz w:val="24"/>
          <w:lang w:val="en-US"/>
        </w:rPr>
        <w:t>1,2-silyl migration</w:t>
      </w:r>
      <w:r w:rsidR="003A36A3">
        <w:rPr>
          <w:sz w:val="24"/>
          <w:lang w:val="en-US"/>
        </w:rPr>
        <w:t xml:space="preserve"> in </w:t>
      </w:r>
      <w:r w:rsidR="003A36A3">
        <w:rPr>
          <w:sz w:val="24"/>
          <w:lang w:val="en-US"/>
        </w:rPr>
        <w:t xml:space="preserve">terminally functionalized propargyl silanes </w:t>
      </w:r>
      <w:r w:rsidR="003A36A3">
        <w:rPr>
          <w:sz w:val="24"/>
          <w:lang w:val="en-US"/>
        </w:rPr>
        <w:t>to generate stabilized carbocations, capable of reacting with various internal nucleophiles, forming heterocyclic units</w:t>
      </w:r>
      <w:r w:rsidR="006A5F07">
        <w:rPr>
          <w:sz w:val="24"/>
          <w:lang w:val="en-US"/>
        </w:rPr>
        <w:t xml:space="preserve"> (scheme 1). </w:t>
      </w:r>
      <w:r w:rsidR="003A36A3">
        <w:rPr>
          <w:sz w:val="24"/>
          <w:lang w:val="en-US"/>
        </w:rPr>
        <w:t>Various nucleophilic species could be utilized, namely alcohols, carboxylic acids, oximes, acyl and sulfonyl amides, carbamates and thioacetates.</w:t>
      </w:r>
    </w:p>
    <w:p w14:paraId="7FD1D5C8" w14:textId="38DDD0EE" w:rsidR="005A3541" w:rsidRDefault="0022322E" w:rsidP="0007533A">
      <w:pPr>
        <w:autoSpaceDE w:val="0"/>
        <w:autoSpaceDN w:val="0"/>
        <w:adjustRightInd w:val="0"/>
        <w:ind w:firstLine="567"/>
        <w:jc w:val="both"/>
        <w:rPr>
          <w:sz w:val="24"/>
          <w:lang w:val="en-GB"/>
        </w:rPr>
      </w:pPr>
      <w:r>
        <w:rPr>
          <w:sz w:val="24"/>
          <w:lang w:val="en-GB"/>
        </w:rPr>
        <w:t>The synthetic utility of the cyclization products was demonstrated by difunctionalization of the alkene moiety in cross-coupling reactions to selectively obtain trisubstituted alkenes. The resulting heterocycle derivatives were obtained with a high degree of stereoselectivity</w:t>
      </w:r>
      <w:r w:rsidR="003A36A3">
        <w:rPr>
          <w:sz w:val="24"/>
          <w:lang w:val="en-GB"/>
        </w:rPr>
        <w:t xml:space="preserve"> and yields up t</w:t>
      </w:r>
      <w:r w:rsidR="003A36A3" w:rsidRPr="006D4556">
        <w:rPr>
          <w:sz w:val="24"/>
          <w:lang w:val="en-GB"/>
        </w:rPr>
        <w:t xml:space="preserve">o </w:t>
      </w:r>
      <w:r w:rsidR="003A36A3" w:rsidRPr="006D4556">
        <w:rPr>
          <w:sz w:val="24"/>
          <w:lang w:val="en-GB"/>
        </w:rPr>
        <w:t>82%</w:t>
      </w:r>
      <w:r w:rsidRPr="006D4556">
        <w:rPr>
          <w:sz w:val="24"/>
          <w:lang w:val="en-GB"/>
        </w:rPr>
        <w:t>.</w:t>
      </w:r>
    </w:p>
    <w:p w14:paraId="25897EC4" w14:textId="40383397" w:rsidR="005404F4" w:rsidRPr="006D4556" w:rsidRDefault="005404F4" w:rsidP="00424B55">
      <w:pPr>
        <w:autoSpaceDE w:val="0"/>
        <w:autoSpaceDN w:val="0"/>
        <w:adjustRightInd w:val="0"/>
        <w:ind w:firstLine="567"/>
        <w:jc w:val="center"/>
        <w:rPr>
          <w:rFonts w:eastAsiaTheme="minorHAnsi" w:cstheme="minorBidi"/>
          <w:noProof/>
          <w:sz w:val="24"/>
          <w:szCs w:val="24"/>
          <w:lang w:val="en-GB"/>
        </w:rPr>
      </w:pPr>
    </w:p>
    <w:p w14:paraId="2CEB772D" w14:textId="517CE813" w:rsidR="00FD1E73" w:rsidRDefault="006E4574" w:rsidP="00424B55">
      <w:pPr>
        <w:autoSpaceDE w:val="0"/>
        <w:autoSpaceDN w:val="0"/>
        <w:adjustRightInd w:val="0"/>
        <w:ind w:firstLine="567"/>
        <w:jc w:val="center"/>
        <w:rPr>
          <w:sz w:val="24"/>
          <w:lang w:val="en-GB"/>
        </w:rPr>
      </w:pPr>
      <w:r>
        <w:rPr>
          <w:rFonts w:eastAsiaTheme="minorHAnsi" w:cstheme="minorBidi"/>
          <w:noProof/>
          <w:sz w:val="24"/>
          <w:szCs w:val="24"/>
          <w:lang w:val="en-US"/>
        </w:rPr>
        <w:object w:dxaOrig="6003" w:dyaOrig="2746" w14:anchorId="6047D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300pt;height:137.45pt" o:ole="">
            <v:imagedata r:id="rId8" o:title=""/>
          </v:shape>
          <o:OLEObject Type="Embed" ProgID="ChemDraw.Document.6.0" ShapeID="_x0000_i1131" DrawAspect="Content" ObjectID="_1739558210" r:id="rId9"/>
        </w:object>
      </w:r>
    </w:p>
    <w:p w14:paraId="574BBCA1" w14:textId="678A5BBC" w:rsidR="0067735C" w:rsidRPr="00906726" w:rsidRDefault="00C3629C" w:rsidP="00377934">
      <w:pPr>
        <w:autoSpaceDE w:val="0"/>
        <w:autoSpaceDN w:val="0"/>
        <w:adjustRightInd w:val="0"/>
        <w:spacing w:before="120"/>
        <w:jc w:val="center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Scheme</w:t>
      </w:r>
      <w:r w:rsidR="001E40FF" w:rsidRPr="00906726">
        <w:rPr>
          <w:b/>
          <w:sz w:val="22"/>
          <w:szCs w:val="22"/>
          <w:lang w:val="en-GB"/>
        </w:rPr>
        <w:t xml:space="preserve"> 1. </w:t>
      </w:r>
      <w:r w:rsidR="00AC3447" w:rsidRPr="00906726">
        <w:rPr>
          <w:sz w:val="22"/>
          <w:szCs w:val="22"/>
          <w:lang w:val="en-GB"/>
        </w:rPr>
        <w:t xml:space="preserve"> </w:t>
      </w:r>
      <w:r w:rsidR="0068778D">
        <w:rPr>
          <w:sz w:val="22"/>
          <w:szCs w:val="22"/>
          <w:lang w:val="en-GB"/>
        </w:rPr>
        <w:t>H</w:t>
      </w:r>
      <w:r w:rsidR="0068778D" w:rsidRPr="0068778D">
        <w:rPr>
          <w:sz w:val="22"/>
          <w:szCs w:val="22"/>
          <w:lang w:val="en-GB"/>
        </w:rPr>
        <w:t>eterocyclization of propargyl silanes</w:t>
      </w:r>
      <w:r w:rsidR="0068778D">
        <w:rPr>
          <w:sz w:val="22"/>
          <w:szCs w:val="22"/>
          <w:lang w:val="en-GB"/>
        </w:rPr>
        <w:t>.</w:t>
      </w:r>
    </w:p>
    <w:p w14:paraId="2CB8D842" w14:textId="77777777" w:rsidR="00F41530" w:rsidRPr="009B79DA" w:rsidRDefault="00F41530" w:rsidP="00867F63">
      <w:pPr>
        <w:pStyle w:val="Pamattekstsaratkpi"/>
        <w:spacing w:after="120"/>
        <w:ind w:firstLine="0"/>
        <w:rPr>
          <w:sz w:val="22"/>
          <w:lang w:val="en-GB"/>
        </w:rPr>
      </w:pPr>
    </w:p>
    <w:p w14:paraId="4BDC0F5F" w14:textId="4775C495" w:rsidR="003A168E" w:rsidRPr="006D4556" w:rsidRDefault="00E21EE9" w:rsidP="006D4556">
      <w:pPr>
        <w:pStyle w:val="Pamattekstsaratkpi"/>
        <w:spacing w:after="120"/>
        <w:ind w:firstLine="0"/>
        <w:rPr>
          <w:b/>
          <w:i/>
          <w:sz w:val="22"/>
          <w:lang w:val="en-GB"/>
        </w:rPr>
      </w:pPr>
      <w:r w:rsidRPr="009B79DA">
        <w:rPr>
          <w:b/>
          <w:i/>
          <w:sz w:val="22"/>
          <w:lang w:val="en-GB"/>
        </w:rPr>
        <w:t>References</w:t>
      </w:r>
      <w:r w:rsidR="00320911" w:rsidRPr="009B79DA">
        <w:rPr>
          <w:b/>
          <w:i/>
          <w:sz w:val="22"/>
          <w:lang w:val="en-GB"/>
        </w:rPr>
        <w:t>:</w:t>
      </w:r>
      <w:r w:rsidR="00906726">
        <w:rPr>
          <w:b/>
          <w:i/>
          <w:sz w:val="22"/>
          <w:lang w:val="en-GB"/>
        </w:rPr>
        <w:t xml:space="preserve"> </w:t>
      </w:r>
    </w:p>
    <w:p w14:paraId="5F76CF76" w14:textId="20642DD8" w:rsidR="00A5605A" w:rsidRPr="00A5605A" w:rsidRDefault="00A5605A" w:rsidP="00A5605A">
      <w:pPr>
        <w:widowControl w:val="0"/>
        <w:autoSpaceDE w:val="0"/>
        <w:autoSpaceDN w:val="0"/>
        <w:adjustRightInd w:val="0"/>
        <w:ind w:left="640" w:hanging="640"/>
        <w:rPr>
          <w:noProof/>
          <w:sz w:val="22"/>
        </w:rPr>
      </w:pPr>
      <w:r>
        <w:rPr>
          <w:sz w:val="22"/>
          <w:lang w:val="en-GB"/>
        </w:rPr>
        <w:fldChar w:fldCharType="begin" w:fldLock="1"/>
      </w:r>
      <w:r>
        <w:rPr>
          <w:sz w:val="22"/>
          <w:lang w:val="en-GB"/>
        </w:rPr>
        <w:instrText xml:space="preserve">ADDIN Mendeley Bibliography CSL_BIBLIOGRAPHY </w:instrText>
      </w:r>
      <w:r>
        <w:rPr>
          <w:sz w:val="22"/>
          <w:lang w:val="en-GB"/>
        </w:rPr>
        <w:fldChar w:fldCharType="separate"/>
      </w:r>
      <w:r w:rsidR="006D4556">
        <w:rPr>
          <w:noProof/>
          <w:sz w:val="22"/>
          <w:szCs w:val="24"/>
        </w:rPr>
        <w:t xml:space="preserve">[1] </w:t>
      </w:r>
      <w:r w:rsidRPr="00A5605A">
        <w:rPr>
          <w:noProof/>
          <w:sz w:val="22"/>
          <w:szCs w:val="24"/>
        </w:rPr>
        <w:t xml:space="preserve">Vitaku, E.; Smith, D. T.; Njardarson, J. T. </w:t>
      </w:r>
      <w:r w:rsidRPr="00A5605A">
        <w:rPr>
          <w:i/>
          <w:iCs/>
          <w:noProof/>
          <w:sz w:val="22"/>
          <w:szCs w:val="24"/>
        </w:rPr>
        <w:t>J. Med. Chem.</w:t>
      </w:r>
      <w:r w:rsidRPr="00A5605A">
        <w:rPr>
          <w:noProof/>
          <w:sz w:val="22"/>
          <w:szCs w:val="24"/>
        </w:rPr>
        <w:t xml:space="preserve"> </w:t>
      </w:r>
      <w:r w:rsidRPr="00A5605A">
        <w:rPr>
          <w:b/>
          <w:bCs/>
          <w:noProof/>
          <w:sz w:val="22"/>
          <w:szCs w:val="24"/>
        </w:rPr>
        <w:t>2014</w:t>
      </w:r>
      <w:r w:rsidRPr="00A5605A">
        <w:rPr>
          <w:noProof/>
          <w:sz w:val="22"/>
          <w:szCs w:val="24"/>
        </w:rPr>
        <w:t xml:space="preserve">, </w:t>
      </w:r>
      <w:r w:rsidRPr="00A5605A">
        <w:rPr>
          <w:i/>
          <w:iCs/>
          <w:noProof/>
          <w:sz w:val="22"/>
          <w:szCs w:val="24"/>
        </w:rPr>
        <w:t>57</w:t>
      </w:r>
      <w:r w:rsidRPr="00A5605A">
        <w:rPr>
          <w:noProof/>
          <w:sz w:val="22"/>
          <w:szCs w:val="24"/>
        </w:rPr>
        <w:t>, 10257–10274.</w:t>
      </w:r>
    </w:p>
    <w:p w14:paraId="2EFF589B" w14:textId="71A686DD" w:rsidR="00A5605A" w:rsidRPr="00AC3447" w:rsidRDefault="00A5605A" w:rsidP="00AC3447">
      <w:pPr>
        <w:jc w:val="both"/>
        <w:rPr>
          <w:sz w:val="22"/>
          <w:lang w:val="en-GB"/>
        </w:rPr>
      </w:pPr>
      <w:r>
        <w:rPr>
          <w:sz w:val="22"/>
          <w:lang w:val="en-GB"/>
        </w:rPr>
        <w:fldChar w:fldCharType="end"/>
      </w:r>
    </w:p>
    <w:sectPr w:rsidR="00A5605A" w:rsidRPr="00AC3447" w:rsidSect="001E40FF">
      <w:headerReference w:type="default" r:id="rId10"/>
      <w:type w:val="continuous"/>
      <w:pgSz w:w="11906" w:h="16838"/>
      <w:pgMar w:top="1697" w:right="1134" w:bottom="156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D4ED" w14:textId="77777777" w:rsidR="009443AA" w:rsidRDefault="009443AA">
      <w:r>
        <w:separator/>
      </w:r>
    </w:p>
  </w:endnote>
  <w:endnote w:type="continuationSeparator" w:id="0">
    <w:p w14:paraId="3056EE45" w14:textId="77777777" w:rsidR="009443AA" w:rsidRDefault="0094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08C9" w14:textId="77777777" w:rsidR="009443AA" w:rsidRDefault="009443AA">
      <w:r>
        <w:separator/>
      </w:r>
    </w:p>
  </w:footnote>
  <w:footnote w:type="continuationSeparator" w:id="0">
    <w:p w14:paraId="3442DACC" w14:textId="77777777" w:rsidR="009443AA" w:rsidRDefault="0094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258B" w14:textId="77777777" w:rsidR="00237692" w:rsidRPr="009D4EFA" w:rsidRDefault="00237692" w:rsidP="003A168E">
    <w:pPr>
      <w:autoSpaceDE w:val="0"/>
      <w:autoSpaceDN w:val="0"/>
      <w:adjustRightInd w:val="0"/>
      <w:spacing w:after="720"/>
      <w:ind w:left="720" w:firstLine="720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D9"/>
    <w:rsid w:val="00001DB6"/>
    <w:rsid w:val="0002638B"/>
    <w:rsid w:val="00041374"/>
    <w:rsid w:val="00044693"/>
    <w:rsid w:val="00057792"/>
    <w:rsid w:val="000700A6"/>
    <w:rsid w:val="000716E2"/>
    <w:rsid w:val="0007533A"/>
    <w:rsid w:val="00084237"/>
    <w:rsid w:val="000914CF"/>
    <w:rsid w:val="00097128"/>
    <w:rsid w:val="000F14B3"/>
    <w:rsid w:val="001234FC"/>
    <w:rsid w:val="00136802"/>
    <w:rsid w:val="00172AEB"/>
    <w:rsid w:val="001A31E6"/>
    <w:rsid w:val="001C036F"/>
    <w:rsid w:val="001E40FF"/>
    <w:rsid w:val="0022275C"/>
    <w:rsid w:val="0022322E"/>
    <w:rsid w:val="00231E62"/>
    <w:rsid w:val="00237692"/>
    <w:rsid w:val="0024076E"/>
    <w:rsid w:val="002436C3"/>
    <w:rsid w:val="0025707E"/>
    <w:rsid w:val="0026404A"/>
    <w:rsid w:val="002B496E"/>
    <w:rsid w:val="00305DAC"/>
    <w:rsid w:val="00320911"/>
    <w:rsid w:val="00323466"/>
    <w:rsid w:val="00336C3F"/>
    <w:rsid w:val="00377934"/>
    <w:rsid w:val="00380471"/>
    <w:rsid w:val="00392D79"/>
    <w:rsid w:val="003A168E"/>
    <w:rsid w:val="003A36A3"/>
    <w:rsid w:val="003C7AA6"/>
    <w:rsid w:val="00424B55"/>
    <w:rsid w:val="00435F97"/>
    <w:rsid w:val="00494DD0"/>
    <w:rsid w:val="004B6FDF"/>
    <w:rsid w:val="004C0253"/>
    <w:rsid w:val="004D541F"/>
    <w:rsid w:val="005404F4"/>
    <w:rsid w:val="00596337"/>
    <w:rsid w:val="005A3541"/>
    <w:rsid w:val="005B1A48"/>
    <w:rsid w:val="005F261B"/>
    <w:rsid w:val="0065606C"/>
    <w:rsid w:val="0067735C"/>
    <w:rsid w:val="00685934"/>
    <w:rsid w:val="0068778D"/>
    <w:rsid w:val="006A5F07"/>
    <w:rsid w:val="006B0A16"/>
    <w:rsid w:val="006D364D"/>
    <w:rsid w:val="006D4556"/>
    <w:rsid w:val="006E14C2"/>
    <w:rsid w:val="006E4574"/>
    <w:rsid w:val="006E796A"/>
    <w:rsid w:val="007132F3"/>
    <w:rsid w:val="00746F5C"/>
    <w:rsid w:val="00781E2A"/>
    <w:rsid w:val="0078401C"/>
    <w:rsid w:val="007B1A27"/>
    <w:rsid w:val="007E7CFB"/>
    <w:rsid w:val="007F5086"/>
    <w:rsid w:val="0082699A"/>
    <w:rsid w:val="00840FA8"/>
    <w:rsid w:val="00867F63"/>
    <w:rsid w:val="00890EEF"/>
    <w:rsid w:val="008E3A98"/>
    <w:rsid w:val="008F73BF"/>
    <w:rsid w:val="00906726"/>
    <w:rsid w:val="00912897"/>
    <w:rsid w:val="009235DB"/>
    <w:rsid w:val="009256B6"/>
    <w:rsid w:val="009443AA"/>
    <w:rsid w:val="0096110F"/>
    <w:rsid w:val="0096484A"/>
    <w:rsid w:val="00987005"/>
    <w:rsid w:val="009A0EDB"/>
    <w:rsid w:val="009A1094"/>
    <w:rsid w:val="009B79DA"/>
    <w:rsid w:val="009C2ABB"/>
    <w:rsid w:val="009C7D7D"/>
    <w:rsid w:val="009D332A"/>
    <w:rsid w:val="009E33AA"/>
    <w:rsid w:val="009F51DF"/>
    <w:rsid w:val="009F71E0"/>
    <w:rsid w:val="00A026F9"/>
    <w:rsid w:val="00A1355F"/>
    <w:rsid w:val="00A17B29"/>
    <w:rsid w:val="00A34384"/>
    <w:rsid w:val="00A5605A"/>
    <w:rsid w:val="00AA28F1"/>
    <w:rsid w:val="00AA7228"/>
    <w:rsid w:val="00AC3447"/>
    <w:rsid w:val="00B147E9"/>
    <w:rsid w:val="00BD1858"/>
    <w:rsid w:val="00C223B4"/>
    <w:rsid w:val="00C3629C"/>
    <w:rsid w:val="00C62F7F"/>
    <w:rsid w:val="00C63CAD"/>
    <w:rsid w:val="00C8016C"/>
    <w:rsid w:val="00C82CB0"/>
    <w:rsid w:val="00C93E7D"/>
    <w:rsid w:val="00CA2EB7"/>
    <w:rsid w:val="00D379DB"/>
    <w:rsid w:val="00D96BAC"/>
    <w:rsid w:val="00DF6739"/>
    <w:rsid w:val="00E21EE9"/>
    <w:rsid w:val="00E22686"/>
    <w:rsid w:val="00E33727"/>
    <w:rsid w:val="00E65883"/>
    <w:rsid w:val="00F27B08"/>
    <w:rsid w:val="00F41530"/>
    <w:rsid w:val="00F462C0"/>
    <w:rsid w:val="00F62ED3"/>
    <w:rsid w:val="00FD1E73"/>
    <w:rsid w:val="00FD54D5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62B7B"/>
  <w15:docId w15:val="{12A87EB9-1871-45DC-AF3E-973804A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en-AU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b/>
      <w:sz w:val="24"/>
      <w:lang w:val="lv-LV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semiHidden/>
    <w:pPr>
      <w:spacing w:line="360" w:lineRule="auto"/>
      <w:jc w:val="center"/>
    </w:pPr>
    <w:rPr>
      <w:b/>
      <w:caps/>
      <w:sz w:val="40"/>
      <w:lang w:val="en-US"/>
    </w:rPr>
  </w:style>
  <w:style w:type="paragraph" w:styleId="Nosaukums">
    <w:name w:val="Title"/>
    <w:basedOn w:val="Parasts"/>
    <w:qFormat/>
    <w:pPr>
      <w:jc w:val="center"/>
    </w:pPr>
    <w:rPr>
      <w:sz w:val="28"/>
      <w:lang w:val="it-IT"/>
    </w:rPr>
  </w:style>
  <w:style w:type="paragraph" w:styleId="Pamatteksts">
    <w:name w:val="Body Text"/>
    <w:basedOn w:val="Parasts"/>
    <w:semiHidden/>
    <w:pPr>
      <w:widowControl w:val="0"/>
      <w:spacing w:line="360" w:lineRule="auto"/>
      <w:jc w:val="center"/>
    </w:pPr>
    <w:rPr>
      <w:sz w:val="32"/>
      <w:lang w:val="en-US"/>
    </w:rPr>
  </w:style>
  <w:style w:type="paragraph" w:styleId="Pamattekstaatkpe3">
    <w:name w:val="Body Text Indent 3"/>
    <w:basedOn w:val="Parasts"/>
    <w:semiHidden/>
    <w:pPr>
      <w:widowControl w:val="0"/>
      <w:spacing w:line="360" w:lineRule="auto"/>
      <w:ind w:firstLine="720"/>
      <w:jc w:val="both"/>
    </w:pPr>
    <w:rPr>
      <w:sz w:val="24"/>
      <w:lang w:val="en-US"/>
    </w:rPr>
  </w:style>
  <w:style w:type="paragraph" w:styleId="Kjene">
    <w:name w:val="footer"/>
    <w:basedOn w:val="Parasts"/>
    <w:semiHidden/>
    <w:pPr>
      <w:widowControl w:val="0"/>
      <w:tabs>
        <w:tab w:val="center" w:pos="4153"/>
        <w:tab w:val="right" w:pos="8306"/>
      </w:tabs>
    </w:pPr>
    <w:rPr>
      <w:sz w:val="22"/>
      <w:lang w:val="en-US"/>
    </w:rPr>
  </w:style>
  <w:style w:type="paragraph" w:styleId="Pamatteksts3">
    <w:name w:val="Body Text 3"/>
    <w:basedOn w:val="Parasts"/>
    <w:semiHidden/>
    <w:pPr>
      <w:widowControl w:val="0"/>
      <w:jc w:val="both"/>
    </w:pPr>
    <w:rPr>
      <w:sz w:val="24"/>
      <w:lang w:val="en-US"/>
    </w:rPr>
  </w:style>
  <w:style w:type="paragraph" w:styleId="Pamattekstsaratkpi">
    <w:name w:val="Body Text Indent"/>
    <w:basedOn w:val="Parasts"/>
    <w:semiHidden/>
    <w:pPr>
      <w:ind w:firstLine="720"/>
      <w:jc w:val="both"/>
    </w:pPr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B6FDF"/>
    <w:rPr>
      <w:lang w:val="en-A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28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2897"/>
    <w:rPr>
      <w:rFonts w:ascii="Tahoma" w:hAnsi="Tahoma" w:cs="Tahoma"/>
      <w:sz w:val="16"/>
      <w:szCs w:val="16"/>
      <w:lang w:val="en-AU"/>
    </w:rPr>
  </w:style>
  <w:style w:type="table" w:styleId="Reatabula">
    <w:name w:val="Table Grid"/>
    <w:basedOn w:val="Parastatabula"/>
    <w:uiPriority w:val="39"/>
    <w:rsid w:val="00A0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90672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3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rasma.kronkalne@rtu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968E-6C93-44C9-AA3D-1CA3F34C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1926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M</vt:lpstr>
    </vt:vector>
  </TitlesOfParts>
  <Company>OSI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Valerjan</dc:creator>
  <cp:lastModifiedBy>Rasma Kroņkalne</cp:lastModifiedBy>
  <cp:revision>26</cp:revision>
  <cp:lastPrinted>2005-09-13T19:03:00Z</cp:lastPrinted>
  <dcterms:created xsi:type="dcterms:W3CDTF">2023-03-03T17:29:00Z</dcterms:created>
  <dcterms:modified xsi:type="dcterms:W3CDTF">2023-03-05T19:50:00Z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http://www.zotero.org/styles/acs-chemical-biology</vt:lpwstr>
  </property>
  <property fmtid="{D5CDD505-2E9C-101B-9397-08002B2CF9AE}" pid="3" name="Mendeley Recent Style Name 0_1">
    <vt:lpwstr>ACS Chemical Biology</vt:lpwstr>
  </property>
  <property fmtid="{D5CDD505-2E9C-101B-9397-08002B2CF9AE}" pid="4" name="Mendeley Recent Style Id 1_1">
    <vt:lpwstr>http://www.zotero.org/styles/acs-medicinal-chemistry-letters</vt:lpwstr>
  </property>
  <property fmtid="{D5CDD505-2E9C-101B-9397-08002B2CF9AE}" pid="5" name="Mendeley Recent Style Name 1_1">
    <vt:lpwstr>ACS Medicinal Chemistry Letters</vt:lpwstr>
  </property>
  <property fmtid="{D5CDD505-2E9C-101B-9397-08002B2CF9AE}" pid="6" name="Mendeley Recent Style Id 2_1">
    <vt:lpwstr>http://www.zotero.org/styles/accounts-of-chemical-research</vt:lpwstr>
  </property>
  <property fmtid="{D5CDD505-2E9C-101B-9397-08002B2CF9AE}" pid="7" name="Mendeley Recent Style Name 2_1">
    <vt:lpwstr>Accounts of Chemical Research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 6th edition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http://www.zotero.org/styles/elsevier-harvard-without-titles</vt:lpwstr>
  </property>
  <property fmtid="{D5CDD505-2E9C-101B-9397-08002B2CF9AE}" pid="17" name="Mendeley Recent Style Name 7_1">
    <vt:lpwstr>Elsevier - Harvard (without titles)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94bd7a63-5e15-3390-beb1-6ce7b1ca5cdd</vt:lpwstr>
  </property>
  <property fmtid="{D5CDD505-2E9C-101B-9397-08002B2CF9AE}" pid="24" name="Mendeley Citation Style_1">
    <vt:lpwstr>http://www.zotero.org/styles/acs-chemical-biology</vt:lpwstr>
  </property>
</Properties>
</file>