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DA" w:rsidRDefault="00656B8B" w:rsidP="00656B8B">
      <w:pPr>
        <w:pStyle w:val="Title"/>
        <w:spacing w:before="240" w:after="2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C-H ARYLATION OF PENTACYCLIC TRITERPENOIDS</w:t>
      </w:r>
    </w:p>
    <w:p w:rsidR="00656B8B" w:rsidRPr="00656B8B" w:rsidRDefault="00656B8B" w:rsidP="00656B8B">
      <w:pPr>
        <w:jc w:val="center"/>
        <w:rPr>
          <w:b/>
          <w:sz w:val="24"/>
          <w:szCs w:val="24"/>
          <w:lang w:val="en-GB"/>
        </w:rPr>
      </w:pPr>
      <w:r w:rsidRPr="00656B8B">
        <w:rPr>
          <w:b/>
          <w:sz w:val="24"/>
          <w:szCs w:val="24"/>
          <w:lang w:val="en-GB"/>
        </w:rPr>
        <w:t>Vladislavs Kroškins, Jevgeņija Lugiņina, Māris Turks*</w:t>
      </w:r>
    </w:p>
    <w:p w:rsidR="003A168E" w:rsidRDefault="00656B8B" w:rsidP="00656B8B">
      <w:pPr>
        <w:pStyle w:val="Footer"/>
        <w:spacing w:before="120"/>
        <w:jc w:val="center"/>
        <w:rPr>
          <w:i/>
          <w:szCs w:val="22"/>
          <w:lang w:val="en-GB"/>
        </w:rPr>
      </w:pPr>
      <w:r w:rsidRPr="00656B8B">
        <w:rPr>
          <w:i/>
          <w:szCs w:val="22"/>
          <w:lang w:val="en-GB"/>
        </w:rPr>
        <w:t>Institute of Technology of Organic Chemistry, Faculty of Materials Scie</w:t>
      </w:r>
      <w:r>
        <w:rPr>
          <w:i/>
          <w:szCs w:val="22"/>
          <w:lang w:val="en-GB"/>
        </w:rPr>
        <w:t xml:space="preserve">nce and Applied Chemistry, Riga </w:t>
      </w:r>
      <w:r w:rsidRPr="00656B8B">
        <w:rPr>
          <w:i/>
          <w:szCs w:val="22"/>
          <w:lang w:val="en-GB"/>
        </w:rPr>
        <w:t>Technical University, P. Valdena str. 3, Riga 1048, Latvia.</w:t>
      </w:r>
    </w:p>
    <w:p w:rsidR="009E33AA" w:rsidRPr="00A34384" w:rsidRDefault="00320911" w:rsidP="00656B8B">
      <w:pPr>
        <w:pStyle w:val="Footer"/>
        <w:spacing w:after="360"/>
        <w:jc w:val="center"/>
        <w:rPr>
          <w:sz w:val="24"/>
          <w:lang w:val="it-IT"/>
        </w:rPr>
      </w:pPr>
      <w:r w:rsidRPr="00906726">
        <w:rPr>
          <w:i/>
          <w:snapToGrid w:val="0"/>
          <w:szCs w:val="22"/>
          <w:lang w:val="it-IT"/>
        </w:rPr>
        <w:t>e-</w:t>
      </w:r>
      <w:r w:rsidR="00912897" w:rsidRPr="00906726">
        <w:rPr>
          <w:i/>
          <w:snapToGrid w:val="0"/>
          <w:szCs w:val="22"/>
          <w:lang w:val="it-IT"/>
        </w:rPr>
        <w:t>mail</w:t>
      </w:r>
      <w:r w:rsidRPr="00906726">
        <w:rPr>
          <w:i/>
          <w:snapToGrid w:val="0"/>
          <w:szCs w:val="22"/>
          <w:lang w:val="it-IT"/>
        </w:rPr>
        <w:t xml:space="preserve">: </w:t>
      </w:r>
      <w:r w:rsidR="00656B8B">
        <w:rPr>
          <w:i/>
          <w:snapToGrid w:val="0"/>
          <w:szCs w:val="22"/>
          <w:lang w:val="it-IT"/>
        </w:rPr>
        <w:t>vladislavs.kroskins@rtu.lv</w:t>
      </w:r>
    </w:p>
    <w:p w:rsidR="009D2058" w:rsidRDefault="00215C9C" w:rsidP="00EE716E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  <w:r>
        <w:rPr>
          <w:sz w:val="24"/>
          <w:lang w:val="en-GB"/>
        </w:rPr>
        <w:t>Naturally</w:t>
      </w:r>
      <w:r w:rsidR="009D2058" w:rsidRPr="009D2058">
        <w:rPr>
          <w:sz w:val="24"/>
          <w:lang w:val="en-GB"/>
        </w:rPr>
        <w:t xml:space="preserve"> abundant pentacyclic triterpenoids are si</w:t>
      </w:r>
      <w:r>
        <w:rPr>
          <w:sz w:val="24"/>
          <w:lang w:val="en-GB"/>
        </w:rPr>
        <w:t>gnificant secondary metabolites</w:t>
      </w:r>
      <w:r w:rsidR="009D2058" w:rsidRPr="009D2058">
        <w:rPr>
          <w:sz w:val="24"/>
          <w:lang w:val="en-GB"/>
        </w:rPr>
        <w:t xml:space="preserve"> which have aroused huge interest by possessing wide range of remarkable biological activities such as </w:t>
      </w:r>
      <w:r w:rsidR="009D2058">
        <w:rPr>
          <w:sz w:val="24"/>
          <w:lang w:val="en-GB"/>
        </w:rPr>
        <w:t>antitumor</w:t>
      </w:r>
      <w:r w:rsidR="00FE7DA1">
        <w:rPr>
          <w:sz w:val="24"/>
          <w:lang w:val="en-GB"/>
        </w:rPr>
        <w:t>[1]</w:t>
      </w:r>
      <w:r w:rsidR="009D2058" w:rsidRPr="009D2058">
        <w:rPr>
          <w:sz w:val="24"/>
          <w:lang w:val="en-GB"/>
        </w:rPr>
        <w:t xml:space="preserve"> antidiabetic</w:t>
      </w:r>
      <w:r w:rsidR="00B50AE9">
        <w:rPr>
          <w:sz w:val="24"/>
          <w:lang w:val="en-GB"/>
        </w:rPr>
        <w:t xml:space="preserve"> [2]</w:t>
      </w:r>
      <w:r w:rsidR="009D2058" w:rsidRPr="009D2058">
        <w:rPr>
          <w:sz w:val="24"/>
          <w:lang w:val="en-GB"/>
        </w:rPr>
        <w:t xml:space="preserve"> anti-inflammatory</w:t>
      </w:r>
      <w:r w:rsidR="00B50AE9">
        <w:rPr>
          <w:sz w:val="24"/>
          <w:lang w:val="en-GB"/>
        </w:rPr>
        <w:t xml:space="preserve"> [3]</w:t>
      </w:r>
      <w:r w:rsidR="009D2058" w:rsidRPr="009D2058">
        <w:rPr>
          <w:sz w:val="24"/>
          <w:lang w:val="en-GB"/>
        </w:rPr>
        <w:t xml:space="preserve"> and</w:t>
      </w:r>
      <w:r>
        <w:rPr>
          <w:sz w:val="24"/>
          <w:lang w:val="en-GB"/>
        </w:rPr>
        <w:t xml:space="preserve"> antiviral </w:t>
      </w:r>
      <w:r w:rsidR="009D2058" w:rsidRPr="009D2058">
        <w:rPr>
          <w:sz w:val="24"/>
          <w:lang w:val="en-GB"/>
        </w:rPr>
        <w:t>activities</w:t>
      </w:r>
      <w:r w:rsidR="00B50AE9">
        <w:rPr>
          <w:sz w:val="24"/>
          <w:lang w:val="en-GB"/>
        </w:rPr>
        <w:t xml:space="preserve"> [4].</w:t>
      </w:r>
      <w:r w:rsidR="009D2058" w:rsidRPr="009D2058">
        <w:rPr>
          <w:sz w:val="24"/>
          <w:lang w:val="en-GB"/>
        </w:rPr>
        <w:t xml:space="preserve"> Oleanolic, ursolic acids and betulin, are the most recognizable compounds of this branch, which are isolated from various plants.</w:t>
      </w:r>
      <w:r w:rsidR="00EE716E">
        <w:rPr>
          <w:sz w:val="24"/>
          <w:lang w:val="en-GB"/>
        </w:rPr>
        <w:t xml:space="preserve"> The aim of this work is to </w:t>
      </w:r>
      <w:r w:rsidR="00EE716E" w:rsidRPr="00EE716E">
        <w:rPr>
          <w:sz w:val="24"/>
          <w:lang w:val="en-GB"/>
        </w:rPr>
        <w:t xml:space="preserve">obtain </w:t>
      </w:r>
      <w:r w:rsidR="00EE716E">
        <w:rPr>
          <w:sz w:val="24"/>
          <w:lang w:val="en-GB"/>
        </w:rPr>
        <w:t xml:space="preserve">novel triterpenoic derivatives by C-H arylation at C(22). For </w:t>
      </w:r>
      <w:r w:rsidR="00EE716E" w:rsidRPr="00EE716E">
        <w:rPr>
          <w:sz w:val="24"/>
          <w:lang w:val="en-GB"/>
        </w:rPr>
        <w:t>this purp</w:t>
      </w:r>
      <w:r w:rsidR="00FE6BE7">
        <w:rPr>
          <w:sz w:val="24"/>
          <w:lang w:val="en-GB"/>
        </w:rPr>
        <w:t>ose, precursors bearing picolinic amide</w:t>
      </w:r>
      <w:r w:rsidR="00EE716E" w:rsidRPr="00EE716E">
        <w:rPr>
          <w:sz w:val="24"/>
          <w:lang w:val="en-GB"/>
        </w:rPr>
        <w:t xml:space="preserve"> directing groups were </w:t>
      </w:r>
      <w:r w:rsidR="00FE6BE7">
        <w:rPr>
          <w:sz w:val="24"/>
          <w:lang w:val="en-GB"/>
        </w:rPr>
        <w:t>synthesized.</w:t>
      </w:r>
    </w:p>
    <w:p w:rsidR="009D2058" w:rsidRPr="009B79DA" w:rsidRDefault="00712E3F" w:rsidP="00FE6BE7">
      <w:pPr>
        <w:autoSpaceDE w:val="0"/>
        <w:autoSpaceDN w:val="0"/>
        <w:adjustRightInd w:val="0"/>
        <w:rPr>
          <w:sz w:val="24"/>
          <w:lang w:val="en-GB"/>
        </w:rPr>
      </w:pPr>
      <w:r>
        <w:object w:dxaOrig="11751" w:dyaOrig="5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53.3pt;height:202.75pt" o:ole="">
            <v:imagedata r:id="rId7" o:title=""/>
          </v:shape>
          <o:OLEObject Type="Embed" ProgID="ChemDraw.Document.6.0" ShapeID="_x0000_i1079" DrawAspect="Content" ObjectID="_1739370240" r:id="rId8"/>
        </w:object>
      </w:r>
    </w:p>
    <w:p w:rsidR="0067735C" w:rsidRPr="00906726" w:rsidRDefault="00AC3447" w:rsidP="00377934">
      <w:pPr>
        <w:autoSpaceDE w:val="0"/>
        <w:autoSpaceDN w:val="0"/>
        <w:adjustRightInd w:val="0"/>
        <w:spacing w:before="120"/>
        <w:jc w:val="center"/>
        <w:rPr>
          <w:sz w:val="22"/>
          <w:szCs w:val="22"/>
          <w:lang w:val="en-GB"/>
        </w:rPr>
      </w:pPr>
      <w:r w:rsidRPr="00906726">
        <w:rPr>
          <w:b/>
          <w:sz w:val="22"/>
          <w:szCs w:val="22"/>
          <w:lang w:val="en-GB"/>
        </w:rPr>
        <w:t>Fig.</w:t>
      </w:r>
      <w:r w:rsidR="001E40FF" w:rsidRPr="00906726">
        <w:rPr>
          <w:b/>
          <w:sz w:val="22"/>
          <w:szCs w:val="22"/>
          <w:lang w:val="en-GB"/>
        </w:rPr>
        <w:t xml:space="preserve"> 1. </w:t>
      </w:r>
      <w:r w:rsidR="00712E3F">
        <w:rPr>
          <w:sz w:val="22"/>
          <w:szCs w:val="22"/>
          <w:lang w:val="en-GB"/>
        </w:rPr>
        <w:t>C-H activation of betulin, oleanolic acid</w:t>
      </w:r>
      <w:bookmarkStart w:id="0" w:name="_GoBack"/>
      <w:bookmarkEnd w:id="0"/>
      <w:r w:rsidR="00712E3F">
        <w:rPr>
          <w:sz w:val="22"/>
          <w:szCs w:val="22"/>
          <w:lang w:val="en-GB"/>
        </w:rPr>
        <w:t xml:space="preserve"> and ursolic acid.</w:t>
      </w:r>
    </w:p>
    <w:p w:rsidR="00F41530" w:rsidRDefault="00FE6BE7" w:rsidP="00215C9C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  <w:lang w:val="en-GB"/>
        </w:rPr>
      </w:pPr>
      <w:r w:rsidRPr="00215C9C">
        <w:rPr>
          <w:sz w:val="24"/>
          <w:szCs w:val="24"/>
          <w:lang w:val="en-GB"/>
        </w:rPr>
        <w:t xml:space="preserve">Obtained picolinic amides </w:t>
      </w:r>
      <w:r w:rsidR="00FE7DA1" w:rsidRPr="00215C9C">
        <w:rPr>
          <w:b/>
          <w:sz w:val="24"/>
          <w:szCs w:val="24"/>
          <w:lang w:val="en-GB"/>
        </w:rPr>
        <w:t>1</w:t>
      </w:r>
      <w:r w:rsidR="00FE7DA1" w:rsidRPr="00215C9C">
        <w:rPr>
          <w:sz w:val="24"/>
          <w:szCs w:val="24"/>
          <w:lang w:val="en-GB"/>
        </w:rPr>
        <w:t xml:space="preserve">, </w:t>
      </w:r>
      <w:r w:rsidR="00FE7DA1" w:rsidRPr="00215C9C">
        <w:rPr>
          <w:b/>
          <w:sz w:val="24"/>
          <w:szCs w:val="24"/>
          <w:lang w:val="en-GB"/>
        </w:rPr>
        <w:t>3a</w:t>
      </w:r>
      <w:r w:rsidR="00FE7DA1" w:rsidRPr="00215C9C">
        <w:rPr>
          <w:sz w:val="24"/>
          <w:szCs w:val="24"/>
          <w:lang w:val="en-GB"/>
        </w:rPr>
        <w:t xml:space="preserve">, </w:t>
      </w:r>
      <w:r w:rsidR="00FE7DA1" w:rsidRPr="00215C9C">
        <w:rPr>
          <w:b/>
          <w:sz w:val="24"/>
          <w:szCs w:val="24"/>
          <w:lang w:val="en-GB"/>
        </w:rPr>
        <w:t>3b</w:t>
      </w:r>
      <w:r w:rsidR="00FE7DA1" w:rsidRPr="00215C9C">
        <w:rPr>
          <w:sz w:val="24"/>
          <w:szCs w:val="24"/>
          <w:lang w:val="en-GB"/>
        </w:rPr>
        <w:t xml:space="preserve"> were successfully combained with aryl</w:t>
      </w:r>
      <w:r w:rsidR="00215C9C">
        <w:rPr>
          <w:sz w:val="24"/>
          <w:szCs w:val="24"/>
          <w:lang w:val="en-GB"/>
        </w:rPr>
        <w:t xml:space="preserve"> iodides </w:t>
      </w:r>
      <w:r w:rsidR="00FE7DA1" w:rsidRPr="00215C9C">
        <w:rPr>
          <w:sz w:val="24"/>
          <w:szCs w:val="24"/>
          <w:lang w:val="en-GB"/>
        </w:rPr>
        <w:t>employing</w:t>
      </w:r>
      <w:r w:rsidR="00FE7DA1" w:rsidRPr="00215C9C">
        <w:rPr>
          <w:sz w:val="24"/>
          <w:szCs w:val="24"/>
          <w:lang w:val="en-GB"/>
        </w:rPr>
        <w:t xml:space="preserve"> Daugulis </w:t>
      </w:r>
      <w:r w:rsidR="00FE7DA1" w:rsidRPr="00215C9C">
        <w:rPr>
          <w:sz w:val="24"/>
          <w:szCs w:val="24"/>
          <w:lang w:val="en-GB"/>
        </w:rPr>
        <w:t>conditions</w:t>
      </w:r>
      <w:r w:rsidR="00712E3F">
        <w:rPr>
          <w:sz w:val="24"/>
          <w:szCs w:val="24"/>
          <w:lang w:val="en-GB"/>
        </w:rPr>
        <w:t xml:space="preserve"> and C-H arylated products </w:t>
      </w:r>
      <w:r w:rsidR="00712E3F">
        <w:rPr>
          <w:b/>
          <w:sz w:val="24"/>
          <w:szCs w:val="24"/>
          <w:lang w:val="en-GB"/>
        </w:rPr>
        <w:t>2</w:t>
      </w:r>
      <w:r w:rsidR="00712E3F">
        <w:rPr>
          <w:sz w:val="24"/>
          <w:szCs w:val="24"/>
          <w:lang w:val="en-GB"/>
        </w:rPr>
        <w:t xml:space="preserve">, </w:t>
      </w:r>
      <w:r w:rsidR="00712E3F">
        <w:rPr>
          <w:b/>
          <w:sz w:val="24"/>
          <w:szCs w:val="24"/>
          <w:lang w:val="en-GB"/>
        </w:rPr>
        <w:t>4a</w:t>
      </w:r>
      <w:r w:rsidR="00712E3F">
        <w:rPr>
          <w:sz w:val="24"/>
          <w:szCs w:val="24"/>
          <w:lang w:val="en-GB"/>
        </w:rPr>
        <w:t xml:space="preserve">, </w:t>
      </w:r>
      <w:r w:rsidR="00712E3F">
        <w:rPr>
          <w:b/>
          <w:sz w:val="24"/>
          <w:szCs w:val="24"/>
          <w:lang w:val="en-GB"/>
        </w:rPr>
        <w:t>4b</w:t>
      </w:r>
      <w:r w:rsidR="00712E3F">
        <w:rPr>
          <w:sz w:val="24"/>
          <w:szCs w:val="24"/>
          <w:lang w:val="en-GB"/>
        </w:rPr>
        <w:t xml:space="preserve"> were obtained</w:t>
      </w:r>
      <w:r w:rsidR="002E1EAF" w:rsidRPr="00215C9C">
        <w:rPr>
          <w:sz w:val="24"/>
          <w:szCs w:val="24"/>
          <w:lang w:val="en-GB"/>
        </w:rPr>
        <w:t xml:space="preserve"> [5].</w:t>
      </w:r>
    </w:p>
    <w:p w:rsidR="00215C9C" w:rsidRPr="00215C9C" w:rsidRDefault="00215C9C" w:rsidP="00215C9C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  <w:lang w:val="en-GB"/>
        </w:rPr>
      </w:pPr>
    </w:p>
    <w:p w:rsidR="009E33AA" w:rsidRPr="009B79DA" w:rsidRDefault="00E21EE9" w:rsidP="00867F63">
      <w:pPr>
        <w:pStyle w:val="BodyTextIndent"/>
        <w:spacing w:after="120"/>
        <w:ind w:firstLine="0"/>
        <w:rPr>
          <w:b/>
          <w:i/>
          <w:sz w:val="22"/>
          <w:lang w:val="en-GB"/>
        </w:rPr>
      </w:pPr>
      <w:r w:rsidRPr="009B79DA">
        <w:rPr>
          <w:b/>
          <w:i/>
          <w:sz w:val="22"/>
          <w:lang w:val="en-GB"/>
        </w:rPr>
        <w:t>References</w:t>
      </w:r>
      <w:r w:rsidR="00320911" w:rsidRPr="009B79DA">
        <w:rPr>
          <w:b/>
          <w:i/>
          <w:sz w:val="22"/>
          <w:lang w:val="en-GB"/>
        </w:rPr>
        <w:t>:</w:t>
      </w:r>
    </w:p>
    <w:p w:rsidR="00FE7DA1" w:rsidRDefault="00FE7DA1" w:rsidP="00FE7DA1">
      <w:pPr>
        <w:pStyle w:val="EndnoteText"/>
        <w:rPr>
          <w:rFonts w:ascii="Times New Roman" w:eastAsia="Times New Roman" w:hAnsi="Times New Roman" w:cs="Times New Roman"/>
          <w:kern w:val="0"/>
          <w:sz w:val="22"/>
          <w14:ligatures w14:val="none"/>
        </w:rPr>
      </w:pPr>
      <w:r w:rsidRPr="00FE7DA1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[1] </w:t>
      </w:r>
      <w:r>
        <w:rPr>
          <w:rFonts w:ascii="Times New Roman" w:eastAsia="Times New Roman" w:hAnsi="Times New Roman" w:cs="Times New Roman"/>
          <w:kern w:val="0"/>
          <w:sz w:val="22"/>
          <w14:ligatures w14:val="none"/>
        </w:rPr>
        <w:t>Sheng</w:t>
      </w:r>
      <w:r w:rsidRPr="00FE7DA1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 H.</w:t>
      </w:r>
      <w:r>
        <w:rPr>
          <w:rFonts w:ascii="Times New Roman" w:eastAsia="Times New Roman" w:hAnsi="Times New Roman" w:cs="Times New Roman"/>
          <w:kern w:val="0"/>
          <w:sz w:val="22"/>
          <w14:ligatures w14:val="none"/>
        </w:rPr>
        <w:t>, Sun H</w:t>
      </w:r>
      <w:r w:rsidRPr="00FE7DA1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. </w:t>
      </w:r>
      <w:r w:rsidRPr="00FE7DA1">
        <w:rPr>
          <w:rFonts w:ascii="Times New Roman" w:eastAsia="Times New Roman" w:hAnsi="Times New Roman" w:cs="Times New Roman"/>
          <w:i/>
          <w:kern w:val="0"/>
          <w:sz w:val="22"/>
          <w14:ligatures w14:val="none"/>
        </w:rPr>
        <w:t>Nat. Prod. Rep</w:t>
      </w:r>
      <w:r w:rsidRPr="00FE7DA1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2"/>
          <w14:ligatures w14:val="none"/>
        </w:rPr>
        <w:t>2011</w:t>
      </w:r>
      <w:r w:rsidRPr="00FE7DA1">
        <w:rPr>
          <w:rFonts w:ascii="Times New Roman" w:eastAsia="Times New Roman" w:hAnsi="Times New Roman" w:cs="Times New Roman"/>
          <w:kern w:val="0"/>
          <w:sz w:val="22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2"/>
          <w14:ligatures w14:val="none"/>
        </w:rPr>
        <w:t>28</w:t>
      </w:r>
      <w:r>
        <w:rPr>
          <w:rFonts w:ascii="Times New Roman" w:eastAsia="Times New Roman" w:hAnsi="Times New Roman" w:cs="Times New Roman"/>
          <w:kern w:val="0"/>
          <w:sz w:val="22"/>
          <w14:ligatures w14:val="none"/>
        </w:rPr>
        <w:t>, 543–593.</w:t>
      </w:r>
    </w:p>
    <w:p w:rsidR="00B50AE9" w:rsidRDefault="00FE7DA1" w:rsidP="00B50AE9">
      <w:pPr>
        <w:pStyle w:val="EndnoteText"/>
        <w:rPr>
          <w:rFonts w:ascii="Times New Roman" w:eastAsia="Times New Roman" w:hAnsi="Times New Roman" w:cs="Times New Roman"/>
          <w:kern w:val="0"/>
          <w:sz w:val="22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2"/>
          <w14:ligatures w14:val="none"/>
        </w:rPr>
        <w:t>[2]</w:t>
      </w:r>
      <w:r w:rsidR="00B50AE9" w:rsidRPr="00B50AE9">
        <w:t xml:space="preserve"> </w:t>
      </w:r>
      <w:r w:rsid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>Teodoro T., Zhang L., Alexander T., Yue J., Vranic M., Volchuk A</w:t>
      </w:r>
      <w:r w:rsidR="00B50AE9"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. </w:t>
      </w:r>
      <w:r w:rsidR="00B50AE9" w:rsidRPr="00B50AE9">
        <w:rPr>
          <w:rFonts w:ascii="Times New Roman" w:eastAsia="Times New Roman" w:hAnsi="Times New Roman" w:cs="Times New Roman"/>
          <w:i/>
          <w:kern w:val="0"/>
          <w:sz w:val="22"/>
          <w14:ligatures w14:val="none"/>
        </w:rPr>
        <w:t>FEBS Lett</w:t>
      </w:r>
      <w:r w:rsidR="00B50AE9"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. </w:t>
      </w:r>
      <w:r w:rsidR="00B50AE9" w:rsidRPr="00B50AE9">
        <w:rPr>
          <w:rFonts w:ascii="Times New Roman" w:eastAsia="Times New Roman" w:hAnsi="Times New Roman" w:cs="Times New Roman"/>
          <w:b/>
          <w:kern w:val="0"/>
          <w:sz w:val="22"/>
          <w14:ligatures w14:val="none"/>
        </w:rPr>
        <w:t>2008</w:t>
      </w:r>
      <w:r w:rsidR="00B50AE9"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, </w:t>
      </w:r>
      <w:r w:rsidR="00B50AE9" w:rsidRPr="00B50AE9">
        <w:rPr>
          <w:rFonts w:ascii="Times New Roman" w:eastAsia="Times New Roman" w:hAnsi="Times New Roman" w:cs="Times New Roman"/>
          <w:i/>
          <w:kern w:val="0"/>
          <w:sz w:val="22"/>
          <w14:ligatures w14:val="none"/>
        </w:rPr>
        <w:t>582</w:t>
      </w:r>
      <w:r w:rsidR="00B50AE9"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>, 1375–1380</w:t>
      </w:r>
      <w:r w:rsid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>.</w:t>
      </w:r>
    </w:p>
    <w:p w:rsidR="00B50AE9" w:rsidRDefault="00B50AE9" w:rsidP="00B50AE9">
      <w:pPr>
        <w:pStyle w:val="EndnoteText"/>
        <w:rPr>
          <w:rFonts w:ascii="Times New Roman" w:eastAsia="Times New Roman" w:hAnsi="Times New Roman" w:cs="Times New Roman"/>
          <w:kern w:val="0"/>
          <w:sz w:val="22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2"/>
          <w14:ligatures w14:val="none"/>
        </w:rPr>
        <w:t>[3] Huguet A.I.,</w:t>
      </w:r>
      <w:r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14:ligatures w14:val="none"/>
        </w:rPr>
        <w:t>del Carmen Recio M., Máñez S., Giner R.M., Ríos</w:t>
      </w:r>
      <w:r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 J.L. </w:t>
      </w:r>
      <w:r w:rsidRPr="00B50AE9">
        <w:rPr>
          <w:rFonts w:ascii="Times New Roman" w:eastAsia="Times New Roman" w:hAnsi="Times New Roman" w:cs="Times New Roman"/>
          <w:i/>
          <w:kern w:val="0"/>
          <w:sz w:val="22"/>
          <w14:ligatures w14:val="none"/>
        </w:rPr>
        <w:t>Eur. J. Pharmacol</w:t>
      </w:r>
      <w:r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. </w:t>
      </w:r>
      <w:r w:rsidRPr="00B50AE9">
        <w:rPr>
          <w:rFonts w:ascii="Times New Roman" w:eastAsia="Times New Roman" w:hAnsi="Times New Roman" w:cs="Times New Roman"/>
          <w:b/>
          <w:kern w:val="0"/>
          <w:sz w:val="22"/>
          <w14:ligatures w14:val="none"/>
        </w:rPr>
        <w:t>2000</w:t>
      </w:r>
      <w:r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, </w:t>
      </w:r>
      <w:r w:rsidRPr="00B50AE9">
        <w:rPr>
          <w:rFonts w:ascii="Times New Roman" w:eastAsia="Times New Roman" w:hAnsi="Times New Roman" w:cs="Times New Roman"/>
          <w:i/>
          <w:kern w:val="0"/>
          <w:sz w:val="22"/>
          <w14:ligatures w14:val="none"/>
        </w:rPr>
        <w:t>410</w:t>
      </w:r>
      <w:r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>, 69–81.</w:t>
      </w:r>
    </w:p>
    <w:p w:rsidR="00B50AE9" w:rsidRDefault="00B50AE9" w:rsidP="00B50AE9">
      <w:pPr>
        <w:pStyle w:val="EndnoteText"/>
      </w:pPr>
      <w:r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[4] Dang Z., </w:t>
      </w:r>
      <w:r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>Lai</w:t>
      </w:r>
      <w:r>
        <w:rPr>
          <w:rFonts w:ascii="Times New Roman" w:eastAsia="Times New Roman" w:hAnsi="Times New Roman" w:cs="Times New Roman"/>
          <w:kern w:val="0"/>
          <w:sz w:val="22"/>
          <w14:ligatures w14:val="none"/>
        </w:rPr>
        <w:t>, W., Qian K.,</w:t>
      </w:r>
      <w:r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 Ho</w:t>
      </w:r>
      <w:r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 P.,</w:t>
      </w:r>
      <w:r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 Lee</w:t>
      </w:r>
      <w:r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 K.H., Chen C.H., Huang, L. </w:t>
      </w:r>
      <w:r w:rsidRPr="00B50AE9">
        <w:rPr>
          <w:rFonts w:ascii="Times New Roman" w:eastAsia="Times New Roman" w:hAnsi="Times New Roman" w:cs="Times New Roman"/>
          <w:i/>
          <w:kern w:val="0"/>
          <w:sz w:val="22"/>
          <w14:ligatures w14:val="none"/>
        </w:rPr>
        <w:t>J. Med. Chem</w:t>
      </w:r>
      <w:r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. </w:t>
      </w:r>
      <w:r w:rsidRPr="00B50AE9">
        <w:rPr>
          <w:rFonts w:ascii="Times New Roman" w:eastAsia="Times New Roman" w:hAnsi="Times New Roman" w:cs="Times New Roman"/>
          <w:b/>
          <w:kern w:val="0"/>
          <w:sz w:val="22"/>
          <w14:ligatures w14:val="none"/>
        </w:rPr>
        <w:t>2009</w:t>
      </w:r>
      <w:r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 xml:space="preserve">, </w:t>
      </w:r>
      <w:r w:rsidRPr="00B50AE9">
        <w:rPr>
          <w:rFonts w:ascii="Times New Roman" w:eastAsia="Times New Roman" w:hAnsi="Times New Roman" w:cs="Times New Roman"/>
          <w:i/>
          <w:kern w:val="0"/>
          <w:sz w:val="22"/>
          <w14:ligatures w14:val="none"/>
        </w:rPr>
        <w:t>52</w:t>
      </w:r>
      <w:r w:rsidRPr="00B50AE9">
        <w:rPr>
          <w:rFonts w:ascii="Times New Roman" w:eastAsia="Times New Roman" w:hAnsi="Times New Roman" w:cs="Times New Roman"/>
          <w:kern w:val="0"/>
          <w:sz w:val="22"/>
          <w14:ligatures w14:val="none"/>
        </w:rPr>
        <w:t>, 7887–7891</w:t>
      </w:r>
      <w:r>
        <w:rPr>
          <w:rFonts w:ascii="Times New Roman" w:eastAsia="Times New Roman" w:hAnsi="Times New Roman" w:cs="Times New Roman"/>
          <w:kern w:val="0"/>
          <w:sz w:val="22"/>
          <w14:ligatures w14:val="none"/>
        </w:rPr>
        <w:t>.</w:t>
      </w:r>
    </w:p>
    <w:p w:rsidR="003A168E" w:rsidRPr="00AC3447" w:rsidRDefault="002E1EAF" w:rsidP="00AC3447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[5] Zaitsev V.G., Shabashov D., Daugulis O. </w:t>
      </w:r>
      <w:r w:rsidRPr="002E1EAF">
        <w:rPr>
          <w:i/>
          <w:sz w:val="22"/>
          <w:lang w:val="en-GB"/>
        </w:rPr>
        <w:t>J. Am. Chem. Soc</w:t>
      </w:r>
      <w:r w:rsidRPr="002E1EAF">
        <w:rPr>
          <w:sz w:val="22"/>
          <w:lang w:val="en-GB"/>
        </w:rPr>
        <w:t>.</w:t>
      </w:r>
      <w:r w:rsidRPr="002E1EAF">
        <w:rPr>
          <w:sz w:val="22"/>
          <w:lang w:val="en-GB"/>
        </w:rPr>
        <w:t xml:space="preserve"> </w:t>
      </w:r>
      <w:r w:rsidRPr="002E1EAF">
        <w:rPr>
          <w:b/>
          <w:sz w:val="22"/>
          <w:lang w:val="en-GB"/>
        </w:rPr>
        <w:t>2005</w:t>
      </w:r>
      <w:r w:rsidRPr="002E1EAF">
        <w:rPr>
          <w:sz w:val="22"/>
          <w:lang w:val="en-GB"/>
        </w:rPr>
        <w:t xml:space="preserve">, </w:t>
      </w:r>
      <w:r w:rsidRPr="002E1EAF">
        <w:rPr>
          <w:i/>
          <w:sz w:val="22"/>
          <w:lang w:val="en-GB"/>
        </w:rPr>
        <w:t>127</w:t>
      </w:r>
      <w:r w:rsidRPr="002E1EAF">
        <w:rPr>
          <w:sz w:val="22"/>
          <w:lang w:val="en-GB"/>
        </w:rPr>
        <w:t>, 13154–13155</w:t>
      </w:r>
      <w:r>
        <w:rPr>
          <w:sz w:val="22"/>
          <w:lang w:val="en-GB"/>
        </w:rPr>
        <w:t>.</w:t>
      </w:r>
    </w:p>
    <w:sectPr w:rsidR="003A168E" w:rsidRPr="00AC3447" w:rsidSect="001E40FF">
      <w:headerReference w:type="default" r:id="rId9"/>
      <w:endnotePr>
        <w:numFmt w:val="decimal"/>
      </w:endnotePr>
      <w:type w:val="continuous"/>
      <w:pgSz w:w="11906" w:h="16838"/>
      <w:pgMar w:top="1697" w:right="1134" w:bottom="156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A6" w:rsidRDefault="003C7AA6">
      <w:r>
        <w:separator/>
      </w:r>
    </w:p>
  </w:endnote>
  <w:endnote w:type="continuationSeparator" w:id="0">
    <w:p w:rsidR="003C7AA6" w:rsidRDefault="003C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A6" w:rsidRDefault="003C7AA6">
      <w:r>
        <w:separator/>
      </w:r>
    </w:p>
  </w:footnote>
  <w:footnote w:type="continuationSeparator" w:id="0">
    <w:p w:rsidR="003C7AA6" w:rsidRDefault="003C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92" w:rsidRPr="009D4EFA" w:rsidRDefault="00237692" w:rsidP="003A168E">
    <w:pPr>
      <w:autoSpaceDE w:val="0"/>
      <w:autoSpaceDN w:val="0"/>
      <w:adjustRightInd w:val="0"/>
      <w:spacing w:after="720"/>
      <w:ind w:left="720" w:firstLine="720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9"/>
    <w:rsid w:val="00001DB6"/>
    <w:rsid w:val="0002638B"/>
    <w:rsid w:val="00041374"/>
    <w:rsid w:val="00044693"/>
    <w:rsid w:val="00057792"/>
    <w:rsid w:val="000700A6"/>
    <w:rsid w:val="0007533A"/>
    <w:rsid w:val="00084237"/>
    <w:rsid w:val="00097128"/>
    <w:rsid w:val="000F14B3"/>
    <w:rsid w:val="001234FC"/>
    <w:rsid w:val="00136802"/>
    <w:rsid w:val="00172AEB"/>
    <w:rsid w:val="001A31E6"/>
    <w:rsid w:val="001E40FF"/>
    <w:rsid w:val="00215C9C"/>
    <w:rsid w:val="0022275C"/>
    <w:rsid w:val="00237692"/>
    <w:rsid w:val="0024076E"/>
    <w:rsid w:val="0026404A"/>
    <w:rsid w:val="002B496E"/>
    <w:rsid w:val="002E1EAF"/>
    <w:rsid w:val="00305DAC"/>
    <w:rsid w:val="00320911"/>
    <w:rsid w:val="00323466"/>
    <w:rsid w:val="00336C3F"/>
    <w:rsid w:val="00377934"/>
    <w:rsid w:val="00380471"/>
    <w:rsid w:val="003A168E"/>
    <w:rsid w:val="003C7AA6"/>
    <w:rsid w:val="00435F97"/>
    <w:rsid w:val="00494DD0"/>
    <w:rsid w:val="004B6FDF"/>
    <w:rsid w:val="004C0253"/>
    <w:rsid w:val="004D541F"/>
    <w:rsid w:val="005A3541"/>
    <w:rsid w:val="005B1A48"/>
    <w:rsid w:val="005F261B"/>
    <w:rsid w:val="0065606C"/>
    <w:rsid w:val="00656B8B"/>
    <w:rsid w:val="0067735C"/>
    <w:rsid w:val="00685934"/>
    <w:rsid w:val="006B0A16"/>
    <w:rsid w:val="006D364D"/>
    <w:rsid w:val="006E14C2"/>
    <w:rsid w:val="006E796A"/>
    <w:rsid w:val="00712E3F"/>
    <w:rsid w:val="00781E2A"/>
    <w:rsid w:val="007B1A27"/>
    <w:rsid w:val="007E7B34"/>
    <w:rsid w:val="007E7CFB"/>
    <w:rsid w:val="007F5086"/>
    <w:rsid w:val="0082699A"/>
    <w:rsid w:val="00867F63"/>
    <w:rsid w:val="00890EEF"/>
    <w:rsid w:val="008E3A98"/>
    <w:rsid w:val="00906726"/>
    <w:rsid w:val="00912897"/>
    <w:rsid w:val="009235DB"/>
    <w:rsid w:val="009256B6"/>
    <w:rsid w:val="0096110F"/>
    <w:rsid w:val="0096484A"/>
    <w:rsid w:val="009A1094"/>
    <w:rsid w:val="009B79DA"/>
    <w:rsid w:val="009C2ABB"/>
    <w:rsid w:val="009D2058"/>
    <w:rsid w:val="009D332A"/>
    <w:rsid w:val="009E33AA"/>
    <w:rsid w:val="009F71E0"/>
    <w:rsid w:val="00A026F9"/>
    <w:rsid w:val="00A1355F"/>
    <w:rsid w:val="00A34384"/>
    <w:rsid w:val="00AA28F1"/>
    <w:rsid w:val="00AA7228"/>
    <w:rsid w:val="00AC3447"/>
    <w:rsid w:val="00B147E9"/>
    <w:rsid w:val="00B50AE9"/>
    <w:rsid w:val="00BD1858"/>
    <w:rsid w:val="00C223B4"/>
    <w:rsid w:val="00C63CAD"/>
    <w:rsid w:val="00C8016C"/>
    <w:rsid w:val="00C82CB0"/>
    <w:rsid w:val="00C93E7D"/>
    <w:rsid w:val="00CA2EB7"/>
    <w:rsid w:val="00D96BAC"/>
    <w:rsid w:val="00DF6739"/>
    <w:rsid w:val="00E21EE9"/>
    <w:rsid w:val="00E22686"/>
    <w:rsid w:val="00E33727"/>
    <w:rsid w:val="00E65883"/>
    <w:rsid w:val="00EE716E"/>
    <w:rsid w:val="00F27B08"/>
    <w:rsid w:val="00F41530"/>
    <w:rsid w:val="00F62ED3"/>
    <w:rsid w:val="00FD54D5"/>
    <w:rsid w:val="00FE53D9"/>
    <w:rsid w:val="00FE6BE7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7C6F13"/>
  <w15:docId w15:val="{12A87EB9-1871-45DC-AF3E-973804A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360" w:lineRule="auto"/>
      <w:jc w:val="center"/>
    </w:pPr>
    <w:rPr>
      <w:b/>
      <w:caps/>
      <w:sz w:val="40"/>
      <w:lang w:val="en-US"/>
    </w:rPr>
  </w:style>
  <w:style w:type="paragraph" w:styleId="Title">
    <w:name w:val="Title"/>
    <w:basedOn w:val="Normal"/>
    <w:qFormat/>
    <w:pPr>
      <w:jc w:val="center"/>
    </w:pPr>
    <w:rPr>
      <w:sz w:val="28"/>
      <w:lang w:val="it-IT"/>
    </w:rPr>
  </w:style>
  <w:style w:type="paragraph" w:styleId="BodyText">
    <w:name w:val="Body Text"/>
    <w:basedOn w:val="Normal"/>
    <w:semiHidden/>
    <w:pPr>
      <w:widowControl w:val="0"/>
      <w:spacing w:line="360" w:lineRule="auto"/>
      <w:jc w:val="center"/>
    </w:pPr>
    <w:rPr>
      <w:sz w:val="32"/>
      <w:lang w:val="en-US"/>
    </w:rPr>
  </w:style>
  <w:style w:type="paragraph" w:styleId="BodyTextIndent3">
    <w:name w:val="Body Text Indent 3"/>
    <w:basedOn w:val="Normal"/>
    <w:semiHidden/>
    <w:pPr>
      <w:widowControl w:val="0"/>
      <w:spacing w:line="360" w:lineRule="auto"/>
      <w:ind w:firstLine="720"/>
      <w:jc w:val="both"/>
    </w:pPr>
    <w:rPr>
      <w:sz w:val="24"/>
      <w:lang w:val="en-US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</w:pPr>
    <w:rPr>
      <w:sz w:val="22"/>
      <w:lang w:val="en-US"/>
    </w:rPr>
  </w:style>
  <w:style w:type="paragraph" w:styleId="BodyText3">
    <w:name w:val="Body Text 3"/>
    <w:basedOn w:val="Normal"/>
    <w:semiHidden/>
    <w:pPr>
      <w:widowControl w:val="0"/>
      <w:jc w:val="both"/>
    </w:pPr>
    <w:rPr>
      <w:sz w:val="24"/>
      <w:lang w:val="en-US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FD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A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72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2058"/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2058"/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character" w:styleId="EndnoteReference">
    <w:name w:val="endnote reference"/>
    <w:basedOn w:val="DefaultParagraphFont"/>
    <w:uiPriority w:val="99"/>
    <w:semiHidden/>
    <w:unhideWhenUsed/>
    <w:rsid w:val="009D2058"/>
    <w:rPr>
      <w:vertAlign w:val="superscript"/>
    </w:rPr>
  </w:style>
  <w:style w:type="character" w:customStyle="1" w:styleId="cit-title">
    <w:name w:val="cit-title"/>
    <w:basedOn w:val="DefaultParagraphFont"/>
    <w:rsid w:val="002E1EAF"/>
  </w:style>
  <w:style w:type="character" w:customStyle="1" w:styleId="cit-year-info">
    <w:name w:val="cit-year-info"/>
    <w:basedOn w:val="DefaultParagraphFont"/>
    <w:rsid w:val="002E1EAF"/>
  </w:style>
  <w:style w:type="character" w:customStyle="1" w:styleId="cit-volume">
    <w:name w:val="cit-volume"/>
    <w:basedOn w:val="DefaultParagraphFont"/>
    <w:rsid w:val="002E1EAF"/>
  </w:style>
  <w:style w:type="character" w:customStyle="1" w:styleId="cit-issue">
    <w:name w:val="cit-issue"/>
    <w:basedOn w:val="DefaultParagraphFont"/>
    <w:rsid w:val="002E1EAF"/>
  </w:style>
  <w:style w:type="character" w:customStyle="1" w:styleId="cit-pagerange">
    <w:name w:val="cit-pagerange"/>
    <w:basedOn w:val="DefaultParagraphFont"/>
    <w:rsid w:val="002E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EE26-148A-489F-B673-0516BA58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OSI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Valerjan</dc:creator>
  <cp:lastModifiedBy>osbt</cp:lastModifiedBy>
  <cp:revision>2</cp:revision>
  <cp:lastPrinted>2023-03-03T11:56:00Z</cp:lastPrinted>
  <dcterms:created xsi:type="dcterms:W3CDTF">2023-03-03T15:32:00Z</dcterms:created>
  <dcterms:modified xsi:type="dcterms:W3CDTF">2023-03-03T15:32:00Z</dcterms:modified>
</cp:coreProperties>
</file>