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DA" w:rsidRDefault="001B21D4" w:rsidP="007E7CFB">
      <w:pPr>
        <w:pStyle w:val="Title"/>
        <w:spacing w:before="240" w:after="24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SYNTHESIS OF </w:t>
      </w:r>
      <w:r w:rsidRPr="001B21D4">
        <w:rPr>
          <w:b/>
          <w:caps/>
          <w:sz w:val="24"/>
          <w:szCs w:val="24"/>
        </w:rPr>
        <w:t>octahydroindoloquinolizine</w:t>
      </w:r>
      <w:r>
        <w:rPr>
          <w:b/>
          <w:caps/>
          <w:sz w:val="24"/>
          <w:szCs w:val="24"/>
        </w:rPr>
        <w:t>S VIA</w:t>
      </w:r>
      <w:r>
        <w:rPr>
          <w:b/>
          <w:sz w:val="24"/>
          <w:szCs w:val="24"/>
          <w:lang w:val="en-GB"/>
        </w:rPr>
        <w:t xml:space="preserve"> IODINE</w:t>
      </w:r>
      <w:r w:rsidR="00935860">
        <w:rPr>
          <w:b/>
          <w:sz w:val="24"/>
          <w:szCs w:val="24"/>
          <w:lang w:val="en-GB"/>
        </w:rPr>
        <w:t>-</w:t>
      </w:r>
      <w:r>
        <w:rPr>
          <w:b/>
          <w:sz w:val="24"/>
          <w:szCs w:val="24"/>
          <w:lang w:val="en-GB"/>
        </w:rPr>
        <w:t xml:space="preserve">PROMOTED OXIDATION/BISHLER-NAPIERALSKI CYCLISATION SEQUENCE </w:t>
      </w:r>
    </w:p>
    <w:p w:rsidR="001B21D4" w:rsidRPr="0002638B" w:rsidRDefault="001B21D4" w:rsidP="007E7CFB">
      <w:pPr>
        <w:pStyle w:val="Title"/>
        <w:spacing w:before="240" w:after="24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OKTAHIDROINDOLOHINOLIZĪNU IEGŪŠANA </w:t>
      </w:r>
      <w:r w:rsidR="000835BD">
        <w:rPr>
          <w:b/>
          <w:sz w:val="24"/>
          <w:szCs w:val="24"/>
          <w:lang w:val="en-GB"/>
        </w:rPr>
        <w:t xml:space="preserve">JODA VEICINĀTAS </w:t>
      </w:r>
      <w:r>
        <w:rPr>
          <w:b/>
          <w:sz w:val="24"/>
          <w:szCs w:val="24"/>
          <w:lang w:val="en-GB"/>
        </w:rPr>
        <w:t>OKSIDĒŠANAS/BIŠLERA-NAPIRAĻSKA REAKCIJU SEKVENCĒ</w:t>
      </w:r>
    </w:p>
    <w:p w:rsidR="009E33AA" w:rsidRPr="00906726" w:rsidRDefault="004F3134" w:rsidP="0023769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Niklāvs Ūdris</w:t>
      </w:r>
      <w:r w:rsidR="003A168E" w:rsidRPr="003A168E">
        <w:rPr>
          <w:b/>
          <w:sz w:val="24"/>
          <w:szCs w:val="24"/>
          <w:vertAlign w:val="superscript"/>
          <w:lang w:val="en-GB"/>
        </w:rPr>
        <w:t>1</w:t>
      </w:r>
      <w:r w:rsidR="00F27B08" w:rsidRPr="00906726">
        <w:rPr>
          <w:b/>
          <w:sz w:val="24"/>
          <w:szCs w:val="24"/>
          <w:lang w:val="en-GB"/>
        </w:rPr>
        <w:t xml:space="preserve">, </w:t>
      </w:r>
      <w:r>
        <w:rPr>
          <w:b/>
          <w:sz w:val="24"/>
          <w:szCs w:val="24"/>
          <w:lang w:val="en-GB"/>
        </w:rPr>
        <w:t>Gints Šmits</w:t>
      </w:r>
      <w:r w:rsidR="003A168E" w:rsidRPr="003A168E">
        <w:rPr>
          <w:b/>
          <w:sz w:val="24"/>
          <w:szCs w:val="24"/>
          <w:vertAlign w:val="superscript"/>
          <w:lang w:val="en-GB"/>
        </w:rPr>
        <w:t>1</w:t>
      </w:r>
      <w:r w:rsidR="00906726">
        <w:rPr>
          <w:b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3A168E" w:rsidRDefault="003A168E" w:rsidP="004F3134">
      <w:pPr>
        <w:pStyle w:val="Footer"/>
        <w:spacing w:before="120"/>
        <w:rPr>
          <w:i/>
          <w:szCs w:val="22"/>
          <w:lang w:val="en-GB"/>
        </w:rPr>
      </w:pPr>
      <w:r w:rsidRPr="003A168E">
        <w:rPr>
          <w:i/>
          <w:szCs w:val="22"/>
          <w:vertAlign w:val="superscript"/>
          <w:lang w:val="en-GB"/>
        </w:rPr>
        <w:t>1</w:t>
      </w:r>
      <w:r w:rsidR="004F3134">
        <w:rPr>
          <w:i/>
          <w:szCs w:val="22"/>
          <w:lang w:val="en-GB"/>
        </w:rPr>
        <w:t>Latvian Institute of Organic Synthesis</w:t>
      </w:r>
      <w:r w:rsidR="00C223B4" w:rsidRPr="00906726">
        <w:rPr>
          <w:i/>
          <w:szCs w:val="22"/>
          <w:lang w:val="en-GB"/>
        </w:rPr>
        <w:t xml:space="preserve">, </w:t>
      </w:r>
      <w:r w:rsidR="004F3134">
        <w:rPr>
          <w:i/>
          <w:szCs w:val="22"/>
          <w:lang w:val="en-GB"/>
        </w:rPr>
        <w:t>Aizkraukles</w:t>
      </w:r>
      <w:r w:rsidR="00C223B4" w:rsidRPr="00906726">
        <w:rPr>
          <w:i/>
          <w:szCs w:val="22"/>
          <w:lang w:val="en-GB"/>
        </w:rPr>
        <w:t xml:space="preserve"> </w:t>
      </w:r>
      <w:r w:rsidR="004F3134">
        <w:rPr>
          <w:i/>
          <w:szCs w:val="22"/>
          <w:lang w:val="en-GB"/>
        </w:rPr>
        <w:t>2</w:t>
      </w:r>
      <w:r w:rsidR="00C223B4" w:rsidRPr="00906726">
        <w:rPr>
          <w:i/>
          <w:szCs w:val="22"/>
          <w:lang w:val="en-GB"/>
        </w:rPr>
        <w:t>1, R</w:t>
      </w:r>
      <w:r w:rsidR="00912897" w:rsidRPr="00906726">
        <w:rPr>
          <w:i/>
          <w:szCs w:val="22"/>
          <w:lang w:val="en-GB"/>
        </w:rPr>
        <w:t>i</w:t>
      </w:r>
      <w:r w:rsidR="00C223B4" w:rsidRPr="00906726">
        <w:rPr>
          <w:i/>
          <w:szCs w:val="22"/>
          <w:lang w:val="en-GB"/>
        </w:rPr>
        <w:t xml:space="preserve">ga, </w:t>
      </w:r>
      <w:r w:rsidR="00912897" w:rsidRPr="00906726">
        <w:rPr>
          <w:i/>
          <w:szCs w:val="22"/>
          <w:lang w:val="en-GB"/>
        </w:rPr>
        <w:t>Latvia</w:t>
      </w:r>
    </w:p>
    <w:p w:rsidR="009E33AA" w:rsidRPr="00A34384" w:rsidRDefault="00320911" w:rsidP="005B1A48">
      <w:pPr>
        <w:pStyle w:val="Footer"/>
        <w:spacing w:after="360"/>
        <w:rPr>
          <w:sz w:val="24"/>
          <w:lang w:val="it-IT"/>
        </w:rPr>
      </w:pPr>
      <w:r w:rsidRPr="00906726">
        <w:rPr>
          <w:i/>
          <w:snapToGrid w:val="0"/>
          <w:szCs w:val="22"/>
          <w:lang w:val="it-IT"/>
        </w:rPr>
        <w:t>e-</w:t>
      </w:r>
      <w:r w:rsidR="00912897" w:rsidRPr="00906726">
        <w:rPr>
          <w:i/>
          <w:snapToGrid w:val="0"/>
          <w:szCs w:val="22"/>
          <w:lang w:val="it-IT"/>
        </w:rPr>
        <w:t>mail</w:t>
      </w:r>
      <w:r w:rsidRPr="00906726">
        <w:rPr>
          <w:i/>
          <w:snapToGrid w:val="0"/>
          <w:szCs w:val="22"/>
          <w:lang w:val="it-IT"/>
        </w:rPr>
        <w:t xml:space="preserve">: </w:t>
      </w:r>
      <w:hyperlink r:id="rId6" w:history="1">
        <w:r w:rsidR="004F3134" w:rsidRPr="00EA1C03">
          <w:rPr>
            <w:rStyle w:val="Hyperlink"/>
            <w:i/>
            <w:snapToGrid w:val="0"/>
            <w:szCs w:val="22"/>
            <w:lang w:val="it-IT"/>
          </w:rPr>
          <w:t>niklavs@osi.lv</w:t>
        </w:r>
      </w:hyperlink>
      <w:r w:rsidR="004F3134">
        <w:rPr>
          <w:i/>
          <w:snapToGrid w:val="0"/>
          <w:szCs w:val="22"/>
          <w:lang w:val="it-IT"/>
        </w:rPr>
        <w:t xml:space="preserve"> </w:t>
      </w:r>
      <w:r w:rsidR="003A168E">
        <w:rPr>
          <w:i/>
          <w:sz w:val="24"/>
          <w:szCs w:val="24"/>
          <w:lang w:val="en-GB"/>
        </w:rPr>
        <w:tab/>
      </w:r>
    </w:p>
    <w:p w:rsidR="000835BD" w:rsidRDefault="000835BD" w:rsidP="000835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35BD">
        <w:rPr>
          <w:sz w:val="24"/>
          <w:szCs w:val="24"/>
        </w:rPr>
        <w:t>Octahydroindoloquinolizine is a common structural motif in corynanthe-type indole alkaloids. These natural products possess a broad scope of pharmacological activities. Members of this natural product family are known to be α</w:t>
      </w:r>
      <w:r w:rsidRPr="000835BD">
        <w:rPr>
          <w:sz w:val="24"/>
          <w:szCs w:val="24"/>
          <w:vertAlign w:val="subscript"/>
        </w:rPr>
        <w:t>1</w:t>
      </w:r>
      <w:r w:rsidRPr="000835BD">
        <w:rPr>
          <w:sz w:val="24"/>
          <w:szCs w:val="24"/>
        </w:rPr>
        <w:t>-adrenergic and opioid receptor antagonists as well as exhibit cytotoxicity in various cancer cell lines.</w:t>
      </w:r>
    </w:p>
    <w:p w:rsidR="000835BD" w:rsidRDefault="00293B48" w:rsidP="000835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35BD">
        <w:rPr>
          <w:sz w:val="24"/>
          <w:szCs w:val="24"/>
        </w:rPr>
        <w:t>Octahydroindoloquinolizine</w:t>
      </w:r>
      <w:r>
        <w:rPr>
          <w:sz w:val="24"/>
          <w:szCs w:val="24"/>
        </w:rPr>
        <w:t xml:space="preserve">s are typically prepared </w:t>
      </w:r>
      <w:r>
        <w:rPr>
          <w:i/>
          <w:sz w:val="24"/>
          <w:szCs w:val="24"/>
        </w:rPr>
        <w:t>via</w:t>
      </w:r>
      <w:r>
        <w:rPr>
          <w:sz w:val="24"/>
          <w:szCs w:val="24"/>
        </w:rPr>
        <w:t xml:space="preserve"> Bishler-Napieralski or Pictet-Spengler cycli</w:t>
      </w:r>
      <w:r w:rsidR="00935860">
        <w:rPr>
          <w:sz w:val="24"/>
          <w:szCs w:val="24"/>
        </w:rPr>
        <w:t>z</w:t>
      </w:r>
      <w:r>
        <w:rPr>
          <w:sz w:val="24"/>
          <w:szCs w:val="24"/>
        </w:rPr>
        <w:t>ation reactions. In course of our studies</w:t>
      </w:r>
      <w:r w:rsidR="00935860">
        <w:rPr>
          <w:sz w:val="24"/>
          <w:szCs w:val="24"/>
        </w:rPr>
        <w:t>,</w:t>
      </w:r>
      <w:r>
        <w:rPr>
          <w:sz w:val="24"/>
          <w:szCs w:val="24"/>
        </w:rPr>
        <w:t xml:space="preserve"> we found that these transformations are often low yielding and sluggish on structurally complex substrates and alternative mild protocols are highly desirable. After </w:t>
      </w:r>
      <w:r w:rsidR="00935860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extensive screening of reaction </w:t>
      </w:r>
      <w:r w:rsidR="00B05873">
        <w:rPr>
          <w:sz w:val="24"/>
          <w:szCs w:val="24"/>
        </w:rPr>
        <w:t>conditions,</w:t>
      </w:r>
      <w:r>
        <w:rPr>
          <w:sz w:val="24"/>
          <w:szCs w:val="24"/>
        </w:rPr>
        <w:t xml:space="preserve"> we found that elemental iodine</w:t>
      </w:r>
      <w:r w:rsidR="009B3023">
        <w:rPr>
          <w:sz w:val="24"/>
          <w:szCs w:val="24"/>
        </w:rPr>
        <w:t xml:space="preserve"> [1]</w:t>
      </w:r>
      <w:r>
        <w:rPr>
          <w:sz w:val="24"/>
          <w:szCs w:val="24"/>
        </w:rPr>
        <w:t xml:space="preserve"> is a good oxidant for the preparation of lactams</w:t>
      </w:r>
      <w:r w:rsidR="00B05873">
        <w:rPr>
          <w:sz w:val="24"/>
          <w:szCs w:val="24"/>
        </w:rPr>
        <w:t xml:space="preserve"> </w:t>
      </w:r>
      <w:r w:rsidR="00B05873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05873">
        <w:rPr>
          <w:sz w:val="24"/>
          <w:szCs w:val="24"/>
        </w:rPr>
        <w:t xml:space="preserve">in good yields starting </w:t>
      </w:r>
      <w:r>
        <w:rPr>
          <w:sz w:val="24"/>
          <w:szCs w:val="24"/>
        </w:rPr>
        <w:t xml:space="preserve">from the corresponding tertiary amines </w:t>
      </w:r>
      <w:r>
        <w:rPr>
          <w:b/>
          <w:sz w:val="24"/>
          <w:szCs w:val="24"/>
        </w:rPr>
        <w:t>1</w:t>
      </w:r>
      <w:r w:rsidR="00B05873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 w:rsidR="00B05873">
        <w:rPr>
          <w:sz w:val="24"/>
          <w:szCs w:val="24"/>
        </w:rPr>
        <w:t xml:space="preserve">These intermediates </w:t>
      </w:r>
      <w:r w:rsidR="00B05873">
        <w:rPr>
          <w:b/>
          <w:sz w:val="24"/>
          <w:szCs w:val="24"/>
        </w:rPr>
        <w:t>3</w:t>
      </w:r>
      <w:r w:rsidR="00B05873">
        <w:rPr>
          <w:sz w:val="24"/>
          <w:szCs w:val="24"/>
        </w:rPr>
        <w:t xml:space="preserve"> were further subjected to mild Bishler-Napieralski cycli</w:t>
      </w:r>
      <w:r w:rsidR="00935860">
        <w:rPr>
          <w:sz w:val="24"/>
          <w:szCs w:val="24"/>
        </w:rPr>
        <w:t>z</w:t>
      </w:r>
      <w:r w:rsidR="00B05873">
        <w:rPr>
          <w:sz w:val="24"/>
          <w:szCs w:val="24"/>
        </w:rPr>
        <w:t>ation conditions furnishing the target o</w:t>
      </w:r>
      <w:r w:rsidR="00B05873" w:rsidRPr="000835BD">
        <w:rPr>
          <w:sz w:val="24"/>
          <w:szCs w:val="24"/>
        </w:rPr>
        <w:t>ctahydroindoloquinolizine</w:t>
      </w:r>
      <w:r w:rsidR="00B05873">
        <w:rPr>
          <w:sz w:val="24"/>
          <w:szCs w:val="24"/>
        </w:rPr>
        <w:t xml:space="preserve">s. Interestingly, in the unprotected </w:t>
      </w:r>
      <w:r w:rsidR="00B05873" w:rsidRPr="00B05873">
        <w:rPr>
          <w:b/>
          <w:sz w:val="24"/>
          <w:szCs w:val="24"/>
        </w:rPr>
        <w:t>1a</w:t>
      </w:r>
      <w:r w:rsidR="00B05873">
        <w:rPr>
          <w:sz w:val="24"/>
          <w:szCs w:val="24"/>
        </w:rPr>
        <w:t xml:space="preserve"> or TBS-protected </w:t>
      </w:r>
      <w:r w:rsidR="00B05873" w:rsidRPr="00B05873">
        <w:rPr>
          <w:sz w:val="24"/>
          <w:szCs w:val="24"/>
        </w:rPr>
        <w:t>substrates</w:t>
      </w:r>
      <w:r w:rsidR="00B05873">
        <w:rPr>
          <w:sz w:val="24"/>
          <w:szCs w:val="24"/>
        </w:rPr>
        <w:t xml:space="preserve"> </w:t>
      </w:r>
      <w:r w:rsidR="00B05873">
        <w:rPr>
          <w:b/>
          <w:sz w:val="24"/>
          <w:szCs w:val="24"/>
        </w:rPr>
        <w:t>1b</w:t>
      </w:r>
      <w:r w:rsidR="00B05873">
        <w:rPr>
          <w:sz w:val="24"/>
          <w:szCs w:val="24"/>
        </w:rPr>
        <w:t xml:space="preserve"> indole ring tends to oxidize first leading to spirocycles </w:t>
      </w:r>
      <w:r w:rsidR="00B05873">
        <w:rPr>
          <w:b/>
          <w:sz w:val="24"/>
          <w:szCs w:val="24"/>
        </w:rPr>
        <w:t>2</w:t>
      </w:r>
      <w:r w:rsidR="00B05873">
        <w:rPr>
          <w:sz w:val="24"/>
          <w:szCs w:val="24"/>
        </w:rPr>
        <w:t xml:space="preserve">. </w:t>
      </w:r>
    </w:p>
    <w:p w:rsidR="000835BD" w:rsidRPr="000835BD" w:rsidRDefault="001C5D2E" w:rsidP="009B302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mechanistic aspects of the developed reaction sequence as well as its application in the total syntheses of </w:t>
      </w:r>
      <w:r w:rsidRPr="000835BD">
        <w:rPr>
          <w:sz w:val="24"/>
          <w:szCs w:val="24"/>
        </w:rPr>
        <w:t>corynanthe-type indole alkaloids</w:t>
      </w:r>
      <w:r>
        <w:rPr>
          <w:sz w:val="24"/>
          <w:szCs w:val="24"/>
        </w:rPr>
        <w:t xml:space="preserve"> will be presented.</w:t>
      </w:r>
    </w:p>
    <w:p w:rsidR="001B21D4" w:rsidRDefault="000835BD" w:rsidP="001C5D2E">
      <w:pPr>
        <w:autoSpaceDE w:val="0"/>
        <w:autoSpaceDN w:val="0"/>
        <w:adjustRightInd w:val="0"/>
        <w:ind w:firstLine="567"/>
        <w:jc w:val="both"/>
        <w:rPr>
          <w:sz w:val="24"/>
          <w:lang w:val="en-GB"/>
        </w:rPr>
      </w:pPr>
      <w:r>
        <w:rPr>
          <w:sz w:val="22"/>
        </w:rPr>
        <w:t xml:space="preserve"> </w:t>
      </w:r>
    </w:p>
    <w:p w:rsidR="004F3134" w:rsidRPr="009B79DA" w:rsidRDefault="009B3023" w:rsidP="004F3134">
      <w:pPr>
        <w:autoSpaceDE w:val="0"/>
        <w:autoSpaceDN w:val="0"/>
        <w:adjustRightInd w:val="0"/>
        <w:jc w:val="both"/>
        <w:rPr>
          <w:sz w:val="24"/>
          <w:lang w:val="en-GB"/>
        </w:rPr>
      </w:pPr>
      <w:r>
        <w:object w:dxaOrig="10557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6" type="#_x0000_t75" style="width:474.75pt;height:171pt" o:ole="">
            <v:imagedata r:id="rId7" o:title=""/>
          </v:shape>
          <o:OLEObject Type="Embed" ProgID="ChemDraw.Document.6.0" ShapeID="_x0000_i1256" DrawAspect="Content" ObjectID="_1739199008" r:id="rId8"/>
        </w:object>
      </w:r>
    </w:p>
    <w:p w:rsidR="0067735C" w:rsidRPr="009B3023" w:rsidRDefault="00AC3447" w:rsidP="00377934">
      <w:pPr>
        <w:autoSpaceDE w:val="0"/>
        <w:autoSpaceDN w:val="0"/>
        <w:adjustRightInd w:val="0"/>
        <w:spacing w:before="120"/>
        <w:jc w:val="center"/>
        <w:rPr>
          <w:sz w:val="22"/>
          <w:szCs w:val="22"/>
          <w:lang w:val="en-GB"/>
        </w:rPr>
      </w:pPr>
      <w:r w:rsidRPr="00906726">
        <w:rPr>
          <w:b/>
          <w:sz w:val="22"/>
          <w:szCs w:val="22"/>
          <w:lang w:val="en-GB"/>
        </w:rPr>
        <w:t>Fig.</w:t>
      </w:r>
      <w:r w:rsidR="001E40FF" w:rsidRPr="00906726">
        <w:rPr>
          <w:b/>
          <w:sz w:val="22"/>
          <w:szCs w:val="22"/>
          <w:lang w:val="en-GB"/>
        </w:rPr>
        <w:t xml:space="preserve"> 1. </w:t>
      </w:r>
      <w:r w:rsidRPr="00906726">
        <w:rPr>
          <w:sz w:val="22"/>
          <w:szCs w:val="22"/>
          <w:lang w:val="en-GB"/>
        </w:rPr>
        <w:t xml:space="preserve"> </w:t>
      </w:r>
      <w:r w:rsidR="009B3023" w:rsidRPr="000835BD">
        <w:rPr>
          <w:sz w:val="24"/>
          <w:szCs w:val="24"/>
        </w:rPr>
        <w:t>Octahydroindoloquinolizine</w:t>
      </w:r>
      <w:r w:rsidR="009B3023">
        <w:rPr>
          <w:sz w:val="24"/>
          <w:szCs w:val="24"/>
        </w:rPr>
        <w:t xml:space="preserve"> preparation </w:t>
      </w:r>
      <w:r w:rsidR="009B3023">
        <w:rPr>
          <w:i/>
          <w:sz w:val="24"/>
          <w:szCs w:val="24"/>
        </w:rPr>
        <w:t xml:space="preserve">via </w:t>
      </w:r>
      <w:r w:rsidR="009B3023">
        <w:rPr>
          <w:sz w:val="24"/>
          <w:szCs w:val="24"/>
        </w:rPr>
        <w:t>iodine</w:t>
      </w:r>
      <w:r w:rsidR="00935860">
        <w:rPr>
          <w:sz w:val="24"/>
          <w:szCs w:val="24"/>
        </w:rPr>
        <w:t>-</w:t>
      </w:r>
      <w:r w:rsidR="009B3023">
        <w:rPr>
          <w:sz w:val="24"/>
          <w:szCs w:val="24"/>
        </w:rPr>
        <w:t>promoted oxidation/</w:t>
      </w:r>
      <w:r w:rsidR="009B3023" w:rsidRPr="009B3023">
        <w:rPr>
          <w:sz w:val="24"/>
          <w:szCs w:val="24"/>
        </w:rPr>
        <w:t xml:space="preserve"> </w:t>
      </w:r>
      <w:r w:rsidR="009B3023">
        <w:rPr>
          <w:sz w:val="24"/>
          <w:szCs w:val="24"/>
        </w:rPr>
        <w:t>Bishler-Napieralski</w:t>
      </w:r>
      <w:r w:rsidR="009B3023">
        <w:rPr>
          <w:sz w:val="24"/>
          <w:szCs w:val="24"/>
        </w:rPr>
        <w:t xml:space="preserve"> sequence</w:t>
      </w:r>
    </w:p>
    <w:p w:rsidR="00F41530" w:rsidRPr="009B79DA" w:rsidRDefault="00F41530" w:rsidP="00867F63">
      <w:pPr>
        <w:pStyle w:val="BodyTextIndent"/>
        <w:spacing w:after="120"/>
        <w:ind w:firstLine="0"/>
        <w:rPr>
          <w:sz w:val="22"/>
          <w:lang w:val="en-GB"/>
        </w:rPr>
      </w:pPr>
    </w:p>
    <w:p w:rsidR="009E33AA" w:rsidRPr="009B79DA" w:rsidRDefault="00E21EE9" w:rsidP="00867F63">
      <w:pPr>
        <w:pStyle w:val="BodyTextIndent"/>
        <w:spacing w:after="120"/>
        <w:ind w:firstLine="0"/>
        <w:rPr>
          <w:b/>
          <w:i/>
          <w:sz w:val="22"/>
          <w:lang w:val="en-GB"/>
        </w:rPr>
      </w:pPr>
      <w:r w:rsidRPr="009B79DA">
        <w:rPr>
          <w:b/>
          <w:i/>
          <w:sz w:val="22"/>
          <w:lang w:val="en-GB"/>
        </w:rPr>
        <w:t>References</w:t>
      </w:r>
      <w:r w:rsidR="00320911" w:rsidRPr="009B79DA">
        <w:rPr>
          <w:b/>
          <w:i/>
          <w:sz w:val="22"/>
          <w:lang w:val="en-GB"/>
        </w:rPr>
        <w:t>:</w:t>
      </w:r>
    </w:p>
    <w:p w:rsidR="00867F63" w:rsidRDefault="00867F63" w:rsidP="00AC3447">
      <w:pPr>
        <w:jc w:val="both"/>
        <w:rPr>
          <w:sz w:val="22"/>
          <w:lang w:val="en-GB"/>
        </w:rPr>
      </w:pPr>
      <w:r w:rsidRPr="009B79DA">
        <w:rPr>
          <w:sz w:val="22"/>
          <w:lang w:val="en-GB"/>
        </w:rPr>
        <w:t>[1]</w:t>
      </w:r>
      <w:r w:rsidR="009B3023">
        <w:rPr>
          <w:sz w:val="22"/>
          <w:lang w:val="en-GB"/>
        </w:rPr>
        <w:t xml:space="preserve"> Griffiths, R. J., Burley, G. A., Talbot, E. P. A</w:t>
      </w:r>
      <w:r w:rsidR="00AC3447" w:rsidRPr="00AC3447">
        <w:rPr>
          <w:sz w:val="22"/>
          <w:lang w:val="en-GB"/>
        </w:rPr>
        <w:t>.</w:t>
      </w:r>
      <w:r w:rsidR="00AC3447">
        <w:rPr>
          <w:sz w:val="22"/>
          <w:lang w:val="en-GB"/>
        </w:rPr>
        <w:t xml:space="preserve"> </w:t>
      </w:r>
      <w:r w:rsidR="009B3023">
        <w:rPr>
          <w:i/>
          <w:sz w:val="22"/>
          <w:lang w:val="en-GB"/>
        </w:rPr>
        <w:t>Org. Lett</w:t>
      </w:r>
      <w:r w:rsidR="00AC3447">
        <w:rPr>
          <w:i/>
          <w:sz w:val="22"/>
          <w:lang w:val="en-GB"/>
        </w:rPr>
        <w:t>.</w:t>
      </w:r>
      <w:r w:rsidR="00AC3447">
        <w:rPr>
          <w:sz w:val="22"/>
          <w:lang w:val="en-GB"/>
        </w:rPr>
        <w:t xml:space="preserve"> </w:t>
      </w:r>
      <w:r w:rsidR="00AC3447">
        <w:rPr>
          <w:b/>
          <w:sz w:val="22"/>
          <w:lang w:val="en-GB"/>
        </w:rPr>
        <w:t>201</w:t>
      </w:r>
      <w:r w:rsidR="009B3023">
        <w:rPr>
          <w:b/>
          <w:sz w:val="22"/>
          <w:lang w:val="en-GB"/>
        </w:rPr>
        <w:t>7</w:t>
      </w:r>
      <w:r w:rsidR="00AC3447">
        <w:rPr>
          <w:sz w:val="22"/>
          <w:lang w:val="en-GB"/>
        </w:rPr>
        <w:t xml:space="preserve">, </w:t>
      </w:r>
      <w:r w:rsidR="009B3023">
        <w:rPr>
          <w:i/>
          <w:sz w:val="22"/>
          <w:lang w:val="en-GB"/>
        </w:rPr>
        <w:t>19</w:t>
      </w:r>
      <w:r w:rsidR="00AC3447">
        <w:rPr>
          <w:sz w:val="22"/>
          <w:lang w:val="en-GB"/>
        </w:rPr>
        <w:t xml:space="preserve">, </w:t>
      </w:r>
      <w:r w:rsidR="009B3023">
        <w:rPr>
          <w:sz w:val="22"/>
          <w:lang w:val="en-GB"/>
        </w:rPr>
        <w:t>870-873</w:t>
      </w:r>
      <w:r w:rsidR="00AC3447">
        <w:rPr>
          <w:sz w:val="22"/>
          <w:lang w:val="en-GB"/>
        </w:rPr>
        <w:t>.</w:t>
      </w:r>
    </w:p>
    <w:p w:rsidR="003A168E" w:rsidRPr="00AC3447" w:rsidRDefault="003A168E" w:rsidP="00AC3447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sectPr w:rsidR="003A168E" w:rsidRPr="00AC3447" w:rsidSect="001E40FF">
      <w:headerReference w:type="default" r:id="rId9"/>
      <w:type w:val="continuous"/>
      <w:pgSz w:w="11906" w:h="16838"/>
      <w:pgMar w:top="1697" w:right="1134" w:bottom="156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73" w:rsidRDefault="00B05873">
      <w:r>
        <w:separator/>
      </w:r>
    </w:p>
  </w:endnote>
  <w:endnote w:type="continuationSeparator" w:id="0">
    <w:p w:rsidR="00B05873" w:rsidRDefault="00B0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73" w:rsidRDefault="00B05873">
      <w:r>
        <w:separator/>
      </w:r>
    </w:p>
  </w:footnote>
  <w:footnote w:type="continuationSeparator" w:id="0">
    <w:p w:rsidR="00B05873" w:rsidRDefault="00B0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73" w:rsidRPr="009D4EFA" w:rsidRDefault="00B05873" w:rsidP="003A168E">
    <w:pPr>
      <w:autoSpaceDE w:val="0"/>
      <w:autoSpaceDN w:val="0"/>
      <w:adjustRightInd w:val="0"/>
      <w:spacing w:after="720"/>
      <w:ind w:left="720" w:firstLine="720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TU0sTAwN7CwMLZU0lEKTi0uzszPAykwrAUANfcBgCwAAAA="/>
  </w:docVars>
  <w:rsids>
    <w:rsidRoot w:val="00FE53D9"/>
    <w:rsid w:val="00001DB6"/>
    <w:rsid w:val="0002638B"/>
    <w:rsid w:val="00041374"/>
    <w:rsid w:val="00044693"/>
    <w:rsid w:val="00057792"/>
    <w:rsid w:val="00063ACF"/>
    <w:rsid w:val="000700A6"/>
    <w:rsid w:val="0007533A"/>
    <w:rsid w:val="000835BD"/>
    <w:rsid w:val="00084237"/>
    <w:rsid w:val="00097128"/>
    <w:rsid w:val="000F14B3"/>
    <w:rsid w:val="001234FC"/>
    <w:rsid w:val="00136802"/>
    <w:rsid w:val="00172AEB"/>
    <w:rsid w:val="001A31E6"/>
    <w:rsid w:val="001B21D4"/>
    <w:rsid w:val="001C5D2E"/>
    <w:rsid w:val="001E40FF"/>
    <w:rsid w:val="0022275C"/>
    <w:rsid w:val="00237692"/>
    <w:rsid w:val="0024076E"/>
    <w:rsid w:val="0026404A"/>
    <w:rsid w:val="00293B48"/>
    <w:rsid w:val="002B496E"/>
    <w:rsid w:val="00305DAC"/>
    <w:rsid w:val="00320911"/>
    <w:rsid w:val="00323466"/>
    <w:rsid w:val="00336C3F"/>
    <w:rsid w:val="00377934"/>
    <w:rsid w:val="00380471"/>
    <w:rsid w:val="003A168E"/>
    <w:rsid w:val="003C7AA6"/>
    <w:rsid w:val="00435F97"/>
    <w:rsid w:val="00494DD0"/>
    <w:rsid w:val="004B6FDF"/>
    <w:rsid w:val="004C0253"/>
    <w:rsid w:val="004D541F"/>
    <w:rsid w:val="004F3134"/>
    <w:rsid w:val="005A3541"/>
    <w:rsid w:val="005B1A48"/>
    <w:rsid w:val="005F261B"/>
    <w:rsid w:val="0065606C"/>
    <w:rsid w:val="0067735C"/>
    <w:rsid w:val="00685934"/>
    <w:rsid w:val="006B0A16"/>
    <w:rsid w:val="006D364D"/>
    <w:rsid w:val="006E14C2"/>
    <w:rsid w:val="006E796A"/>
    <w:rsid w:val="00781E2A"/>
    <w:rsid w:val="007B1A27"/>
    <w:rsid w:val="007E7CFB"/>
    <w:rsid w:val="007F5086"/>
    <w:rsid w:val="0082699A"/>
    <w:rsid w:val="00867F63"/>
    <w:rsid w:val="00890EEF"/>
    <w:rsid w:val="008E3A98"/>
    <w:rsid w:val="00906726"/>
    <w:rsid w:val="00912897"/>
    <w:rsid w:val="009235DB"/>
    <w:rsid w:val="009256B6"/>
    <w:rsid w:val="00935860"/>
    <w:rsid w:val="0096110F"/>
    <w:rsid w:val="0096484A"/>
    <w:rsid w:val="009A1094"/>
    <w:rsid w:val="009B3023"/>
    <w:rsid w:val="009B79DA"/>
    <w:rsid w:val="009C2ABB"/>
    <w:rsid w:val="009D332A"/>
    <w:rsid w:val="009E33AA"/>
    <w:rsid w:val="009F71E0"/>
    <w:rsid w:val="00A026F9"/>
    <w:rsid w:val="00A1355F"/>
    <w:rsid w:val="00A34384"/>
    <w:rsid w:val="00AA28F1"/>
    <w:rsid w:val="00AA7228"/>
    <w:rsid w:val="00AC3447"/>
    <w:rsid w:val="00B05873"/>
    <w:rsid w:val="00B147E9"/>
    <w:rsid w:val="00BD1858"/>
    <w:rsid w:val="00C223B4"/>
    <w:rsid w:val="00C63CAD"/>
    <w:rsid w:val="00C8016C"/>
    <w:rsid w:val="00C82CB0"/>
    <w:rsid w:val="00C93E7D"/>
    <w:rsid w:val="00CA2EB7"/>
    <w:rsid w:val="00D96BAC"/>
    <w:rsid w:val="00DF6739"/>
    <w:rsid w:val="00E21EE9"/>
    <w:rsid w:val="00E22686"/>
    <w:rsid w:val="00E33727"/>
    <w:rsid w:val="00E65883"/>
    <w:rsid w:val="00F27B08"/>
    <w:rsid w:val="00F41530"/>
    <w:rsid w:val="00F62ED3"/>
    <w:rsid w:val="00FD54D5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E818E2"/>
  <w15:docId w15:val="{12A87EB9-1871-45DC-AF3E-973804A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caps/>
      <w:sz w:val="40"/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it-IT"/>
    </w:rPr>
  </w:style>
  <w:style w:type="paragraph" w:styleId="BodyText">
    <w:name w:val="Body Text"/>
    <w:basedOn w:val="Normal"/>
    <w:semiHidden/>
    <w:pPr>
      <w:widowControl w:val="0"/>
      <w:spacing w:line="360" w:lineRule="auto"/>
      <w:jc w:val="center"/>
    </w:pPr>
    <w:rPr>
      <w:sz w:val="32"/>
      <w:lang w:val="en-US"/>
    </w:rPr>
  </w:style>
  <w:style w:type="paragraph" w:styleId="BodyTextIndent3">
    <w:name w:val="Body Text Indent 3"/>
    <w:basedOn w:val="Normal"/>
    <w:semiHidden/>
    <w:pPr>
      <w:widowControl w:val="0"/>
      <w:spacing w:line="360" w:lineRule="auto"/>
      <w:ind w:firstLine="720"/>
      <w:jc w:val="both"/>
    </w:pPr>
    <w:rPr>
      <w:sz w:val="24"/>
      <w:lang w:val="en-US"/>
    </w:rPr>
  </w:style>
  <w:style w:type="paragraph" w:styleId="Footer">
    <w:name w:val="footer"/>
    <w:basedOn w:val="Normal"/>
    <w:semiHidden/>
    <w:pPr>
      <w:widowControl w:val="0"/>
      <w:tabs>
        <w:tab w:val="center" w:pos="4153"/>
        <w:tab w:val="right" w:pos="8306"/>
      </w:tabs>
    </w:pPr>
    <w:rPr>
      <w:sz w:val="22"/>
      <w:lang w:val="en-US"/>
    </w:rPr>
  </w:style>
  <w:style w:type="paragraph" w:styleId="BodyText3">
    <w:name w:val="Body Text 3"/>
    <w:basedOn w:val="Normal"/>
    <w:semiHidden/>
    <w:pPr>
      <w:widowControl w:val="0"/>
      <w:jc w:val="both"/>
    </w:pPr>
    <w:rPr>
      <w:sz w:val="24"/>
      <w:lang w:val="en-US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FD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7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A0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7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BD"/>
    <w:pPr>
      <w:jc w:val="both"/>
    </w:pPr>
    <w:rPr>
      <w:rFonts w:eastAsiaTheme="min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BD"/>
    <w:rPr>
      <w:rFonts w:eastAsia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lavs@osi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OSI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Valerjan</dc:creator>
  <cp:lastModifiedBy>Smits, Gints</cp:lastModifiedBy>
  <cp:revision>5</cp:revision>
  <cp:lastPrinted>2005-09-13T19:03:00Z</cp:lastPrinted>
  <dcterms:created xsi:type="dcterms:W3CDTF">2023-03-01T15:52:00Z</dcterms:created>
  <dcterms:modified xsi:type="dcterms:W3CDTF">2023-03-01T16:02:00Z</dcterms:modified>
</cp:coreProperties>
</file>