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60114" w14:textId="637A7F88" w:rsidR="009B79DA" w:rsidRDefault="009E08FF" w:rsidP="007E7CFB">
      <w:pPr>
        <w:pStyle w:val="Title"/>
        <w:spacing w:before="240" w:after="240"/>
        <w:jc w:val="left"/>
        <w:rPr>
          <w:b/>
          <w:sz w:val="24"/>
          <w:szCs w:val="24"/>
          <w:lang w:val="en-GB"/>
        </w:rPr>
      </w:pPr>
      <w:r>
        <w:rPr>
          <w:b/>
          <w:sz w:val="24"/>
          <w:szCs w:val="24"/>
          <w:lang w:val="en-GB"/>
        </w:rPr>
        <w:t>IMPURITY-INDUCED PHOSPHORESCENCE IN CARBAZOLE DERIVATIVES</w:t>
      </w:r>
    </w:p>
    <w:p w14:paraId="5FB45101" w14:textId="1BFBA12A" w:rsidR="0002638B" w:rsidRPr="0002638B" w:rsidRDefault="009E08FF" w:rsidP="007E7CFB">
      <w:pPr>
        <w:pStyle w:val="Title"/>
        <w:spacing w:before="240" w:after="240"/>
        <w:jc w:val="left"/>
        <w:rPr>
          <w:b/>
          <w:sz w:val="24"/>
          <w:szCs w:val="24"/>
          <w:lang w:val="en-GB"/>
        </w:rPr>
      </w:pPr>
      <w:r>
        <w:rPr>
          <w:b/>
          <w:sz w:val="24"/>
          <w:szCs w:val="24"/>
          <w:lang w:val="en-GB"/>
        </w:rPr>
        <w:t>PIEMAISĪJUMU RADĪTA FOSFORESCENCE KARBAZOLA ATVASINĀJUMOS</w:t>
      </w:r>
    </w:p>
    <w:p w14:paraId="23946D0E" w14:textId="34B65E34" w:rsidR="009E33AA" w:rsidRPr="00906726" w:rsidRDefault="009E08FF" w:rsidP="00237692">
      <w:pPr>
        <w:rPr>
          <w:b/>
          <w:sz w:val="24"/>
          <w:szCs w:val="24"/>
          <w:lang w:val="en-GB"/>
        </w:rPr>
      </w:pPr>
      <w:r>
        <w:rPr>
          <w:b/>
          <w:sz w:val="24"/>
          <w:szCs w:val="24"/>
          <w:lang w:val="en-GB"/>
        </w:rPr>
        <w:t>Artūrs Mazarevics</w:t>
      </w:r>
      <w:r w:rsidR="003A168E" w:rsidRPr="003A168E">
        <w:rPr>
          <w:b/>
          <w:sz w:val="24"/>
          <w:szCs w:val="24"/>
          <w:vertAlign w:val="superscript"/>
          <w:lang w:val="en-GB"/>
        </w:rPr>
        <w:t>1</w:t>
      </w:r>
      <w:r>
        <w:rPr>
          <w:b/>
          <w:sz w:val="24"/>
          <w:szCs w:val="24"/>
          <w:vertAlign w:val="superscript"/>
          <w:lang w:val="en-GB"/>
        </w:rPr>
        <w:t>,2</w:t>
      </w:r>
      <w:r w:rsidR="00F27B08" w:rsidRPr="00906726">
        <w:rPr>
          <w:b/>
          <w:sz w:val="24"/>
          <w:szCs w:val="24"/>
          <w:lang w:val="en-GB"/>
        </w:rPr>
        <w:t xml:space="preserve">, </w:t>
      </w:r>
      <w:r>
        <w:rPr>
          <w:b/>
          <w:sz w:val="24"/>
          <w:szCs w:val="24"/>
          <w:lang w:val="en-GB"/>
        </w:rPr>
        <w:t>Kaspars Leduskrasts</w:t>
      </w:r>
      <w:r w:rsidR="00DF29B9">
        <w:rPr>
          <w:b/>
          <w:sz w:val="24"/>
          <w:szCs w:val="24"/>
          <w:vertAlign w:val="superscript"/>
          <w:lang w:val="en-GB"/>
        </w:rPr>
        <w:t>1</w:t>
      </w:r>
      <w:r w:rsidR="00F62ED3" w:rsidRPr="00906726">
        <w:rPr>
          <w:b/>
          <w:sz w:val="24"/>
          <w:szCs w:val="24"/>
          <w:lang w:val="en-GB"/>
        </w:rPr>
        <w:t xml:space="preserve">, </w:t>
      </w:r>
      <w:r>
        <w:rPr>
          <w:b/>
          <w:sz w:val="24"/>
          <w:szCs w:val="24"/>
          <w:lang w:val="en-GB"/>
        </w:rPr>
        <w:t>Edgars Suna</w:t>
      </w:r>
      <w:r w:rsidR="00DF29B9">
        <w:rPr>
          <w:b/>
          <w:sz w:val="24"/>
          <w:szCs w:val="24"/>
          <w:vertAlign w:val="superscript"/>
          <w:lang w:val="en-GB"/>
        </w:rPr>
        <w:t>1</w:t>
      </w:r>
      <w:r w:rsidR="00886BAD">
        <w:rPr>
          <w:b/>
          <w:sz w:val="24"/>
          <w:szCs w:val="24"/>
          <w:vertAlign w:val="superscript"/>
          <w:lang w:val="en-GB"/>
        </w:rPr>
        <w:t>,2</w:t>
      </w:r>
      <w:r w:rsidR="00906726">
        <w:rPr>
          <w:b/>
          <w:sz w:val="24"/>
          <w:szCs w:val="24"/>
          <w:lang w:val="en-GB"/>
        </w:rPr>
        <w:t xml:space="preserve"> </w:t>
      </w:r>
    </w:p>
    <w:p w14:paraId="102875D3" w14:textId="0AA65E6C" w:rsidR="009E33AA" w:rsidRDefault="003A168E" w:rsidP="009E08FF">
      <w:pPr>
        <w:pStyle w:val="Footer"/>
        <w:rPr>
          <w:i/>
          <w:szCs w:val="22"/>
          <w:lang w:val="en-GB"/>
        </w:rPr>
      </w:pPr>
      <w:r w:rsidRPr="003A168E">
        <w:rPr>
          <w:i/>
          <w:szCs w:val="22"/>
          <w:vertAlign w:val="superscript"/>
          <w:lang w:val="en-GB"/>
        </w:rPr>
        <w:t>1</w:t>
      </w:r>
      <w:r w:rsidR="009E08FF" w:rsidRPr="009E08FF">
        <w:rPr>
          <w:i/>
          <w:szCs w:val="22"/>
          <w:lang w:val="en-GB"/>
        </w:rPr>
        <w:t xml:space="preserve"> </w:t>
      </w:r>
      <w:r w:rsidR="009E08FF">
        <w:rPr>
          <w:i/>
          <w:szCs w:val="22"/>
          <w:lang w:val="en-GB"/>
        </w:rPr>
        <w:t>Latvian I</w:t>
      </w:r>
      <w:r w:rsidR="009E08FF" w:rsidRPr="003A168E">
        <w:rPr>
          <w:i/>
          <w:szCs w:val="22"/>
          <w:lang w:val="en-GB"/>
        </w:rPr>
        <w:t>nstitute of</w:t>
      </w:r>
      <w:r w:rsidR="009E08FF">
        <w:rPr>
          <w:i/>
          <w:szCs w:val="22"/>
          <w:lang w:val="en-GB"/>
        </w:rPr>
        <w:t xml:space="preserve"> Organic Synthesis, </w:t>
      </w:r>
      <w:proofErr w:type="spellStart"/>
      <w:r w:rsidR="009E08FF">
        <w:rPr>
          <w:i/>
          <w:szCs w:val="22"/>
          <w:lang w:val="en-GB"/>
        </w:rPr>
        <w:t>Aizkraukles</w:t>
      </w:r>
      <w:proofErr w:type="spellEnd"/>
      <w:r w:rsidR="009E08FF">
        <w:rPr>
          <w:i/>
          <w:szCs w:val="22"/>
          <w:lang w:val="en-GB"/>
        </w:rPr>
        <w:t xml:space="preserve"> </w:t>
      </w:r>
      <w:proofErr w:type="spellStart"/>
      <w:r w:rsidR="009E08FF">
        <w:rPr>
          <w:i/>
          <w:szCs w:val="22"/>
          <w:lang w:val="en-GB"/>
        </w:rPr>
        <w:t>iela</w:t>
      </w:r>
      <w:proofErr w:type="spellEnd"/>
      <w:r w:rsidR="009E08FF">
        <w:rPr>
          <w:i/>
          <w:szCs w:val="22"/>
          <w:lang w:val="en-GB"/>
        </w:rPr>
        <w:t xml:space="preserve"> 21, Riga, Latvia</w:t>
      </w:r>
    </w:p>
    <w:p w14:paraId="7B3CDAEB" w14:textId="1BD8A94C" w:rsidR="003A168E" w:rsidRDefault="003A168E" w:rsidP="009E08FF">
      <w:pPr>
        <w:pStyle w:val="Footer"/>
        <w:rPr>
          <w:i/>
          <w:szCs w:val="22"/>
          <w:lang w:val="en-GB"/>
        </w:rPr>
      </w:pPr>
      <w:r w:rsidRPr="003A168E">
        <w:rPr>
          <w:i/>
          <w:szCs w:val="22"/>
          <w:vertAlign w:val="superscript"/>
          <w:lang w:val="en-GB"/>
        </w:rPr>
        <w:t>2</w:t>
      </w:r>
      <w:r w:rsidR="009E08FF" w:rsidRPr="009E08FF">
        <w:rPr>
          <w:i/>
          <w:szCs w:val="22"/>
          <w:lang w:val="en-GB"/>
        </w:rPr>
        <w:t xml:space="preserve"> </w:t>
      </w:r>
      <w:r w:rsidR="009E08FF" w:rsidRPr="00906726">
        <w:rPr>
          <w:i/>
          <w:szCs w:val="22"/>
          <w:lang w:val="en-GB"/>
        </w:rPr>
        <w:t xml:space="preserve">University of Latvia, Faculty of Chemistry, </w:t>
      </w:r>
      <w:proofErr w:type="spellStart"/>
      <w:r w:rsidR="009E08FF" w:rsidRPr="00906726">
        <w:rPr>
          <w:i/>
          <w:szCs w:val="22"/>
          <w:lang w:val="en-GB"/>
        </w:rPr>
        <w:t>Jelgavas</w:t>
      </w:r>
      <w:proofErr w:type="spellEnd"/>
      <w:r w:rsidR="009E08FF" w:rsidRPr="00906726">
        <w:rPr>
          <w:i/>
          <w:szCs w:val="22"/>
          <w:lang w:val="en-GB"/>
        </w:rPr>
        <w:t xml:space="preserve"> </w:t>
      </w:r>
      <w:proofErr w:type="spellStart"/>
      <w:r w:rsidR="009E08FF" w:rsidRPr="00906726">
        <w:rPr>
          <w:i/>
          <w:szCs w:val="22"/>
          <w:lang w:val="en-GB"/>
        </w:rPr>
        <w:t>iela</w:t>
      </w:r>
      <w:proofErr w:type="spellEnd"/>
      <w:r w:rsidR="009E08FF" w:rsidRPr="00906726">
        <w:rPr>
          <w:i/>
          <w:szCs w:val="22"/>
          <w:lang w:val="en-GB"/>
        </w:rPr>
        <w:t xml:space="preserve"> 1, Riga, Latvia</w:t>
      </w:r>
    </w:p>
    <w:p w14:paraId="68A75D35" w14:textId="7C696E9F" w:rsidR="009E33AA" w:rsidRPr="00A34384" w:rsidRDefault="00320911" w:rsidP="005B1A48">
      <w:pPr>
        <w:pStyle w:val="Footer"/>
        <w:spacing w:after="360"/>
        <w:rPr>
          <w:sz w:val="24"/>
          <w:lang w:val="it-IT"/>
        </w:rPr>
      </w:pPr>
      <w:r w:rsidRPr="00906726">
        <w:rPr>
          <w:i/>
          <w:snapToGrid w:val="0"/>
          <w:szCs w:val="22"/>
          <w:lang w:val="it-IT"/>
        </w:rPr>
        <w:t>e-</w:t>
      </w:r>
      <w:r w:rsidR="00912897" w:rsidRPr="00906726">
        <w:rPr>
          <w:i/>
          <w:snapToGrid w:val="0"/>
          <w:szCs w:val="22"/>
          <w:lang w:val="it-IT"/>
        </w:rPr>
        <w:t>mail</w:t>
      </w:r>
      <w:r w:rsidRPr="00906726">
        <w:rPr>
          <w:i/>
          <w:snapToGrid w:val="0"/>
          <w:szCs w:val="22"/>
          <w:lang w:val="it-IT"/>
        </w:rPr>
        <w:t xml:space="preserve">: </w:t>
      </w:r>
      <w:hyperlink r:id="rId6" w:history="1">
        <w:r w:rsidR="009E08FF" w:rsidRPr="009E3FF5">
          <w:rPr>
            <w:rStyle w:val="Hyperlink"/>
            <w:i/>
            <w:snapToGrid w:val="0"/>
            <w:szCs w:val="22"/>
            <w:lang w:val="it-IT"/>
          </w:rPr>
          <w:t>arturs.mazarevics@osi.lv</w:t>
        </w:r>
      </w:hyperlink>
      <w:r w:rsidR="009E08FF">
        <w:rPr>
          <w:i/>
          <w:snapToGrid w:val="0"/>
          <w:szCs w:val="22"/>
          <w:lang w:val="it-IT"/>
        </w:rPr>
        <w:t xml:space="preserve"> </w:t>
      </w:r>
    </w:p>
    <w:p w14:paraId="3B7BDE9C" w14:textId="3AFB394C" w:rsidR="009E08FF" w:rsidRPr="00FB1423" w:rsidRDefault="000A47C2" w:rsidP="009E08FF">
      <w:pPr>
        <w:suppressAutoHyphens/>
        <w:autoSpaceDE w:val="0"/>
        <w:autoSpaceDN w:val="0"/>
        <w:ind w:firstLine="567"/>
        <w:jc w:val="both"/>
        <w:textAlignment w:val="top"/>
        <w:outlineLvl w:val="0"/>
        <w:rPr>
          <w:sz w:val="24"/>
          <w:szCs w:val="24"/>
          <w:lang w:val="en-GB"/>
        </w:rPr>
      </w:pPr>
      <w:r w:rsidRPr="000A47C2">
        <w:rPr>
          <w:sz w:val="24"/>
          <w:szCs w:val="24"/>
          <w:lang w:val="en-GB"/>
        </w:rPr>
        <w:t xml:space="preserve">Phosphorescence is a type of luminescence in which the emission lifetime is longer than 1µs. Usually, phosphorescence is exhibited by metal containing compounds, but the high toxicity and manufacturing costs as well as low stability limits the use of such materials. </w:t>
      </w:r>
      <w:r>
        <w:rPr>
          <w:sz w:val="24"/>
          <w:szCs w:val="24"/>
          <w:lang w:val="en-GB"/>
        </w:rPr>
        <w:t>T</w:t>
      </w:r>
      <w:r w:rsidRPr="000A47C2">
        <w:rPr>
          <w:sz w:val="24"/>
          <w:szCs w:val="24"/>
          <w:lang w:val="en-GB"/>
        </w:rPr>
        <w:t>o overcome these drawbacks purely organic phosphorescent materials</w:t>
      </w:r>
      <w:r>
        <w:rPr>
          <w:sz w:val="24"/>
          <w:szCs w:val="24"/>
          <w:lang w:val="en-GB"/>
        </w:rPr>
        <w:t xml:space="preserve"> recently</w:t>
      </w:r>
      <w:r w:rsidRPr="000A47C2">
        <w:rPr>
          <w:sz w:val="24"/>
          <w:szCs w:val="24"/>
          <w:lang w:val="en-GB"/>
        </w:rPr>
        <w:t xml:space="preserve"> have become popular because of their biocompatibility, low cost, and limitless design possibilities</w:t>
      </w:r>
      <w:r w:rsidR="009E08FF" w:rsidRPr="00FB1423">
        <w:rPr>
          <w:sz w:val="24"/>
          <w:szCs w:val="24"/>
          <w:lang w:val="en-GB"/>
        </w:rPr>
        <w:t>.</w:t>
      </w:r>
      <w:r w:rsidRPr="000A47C2">
        <w:rPr>
          <w:sz w:val="24"/>
          <w:szCs w:val="24"/>
          <w:vertAlign w:val="superscript"/>
        </w:rPr>
        <w:t>1</w:t>
      </w:r>
    </w:p>
    <w:p w14:paraId="1A17E9E1" w14:textId="2CB7D079" w:rsidR="009E08FF" w:rsidRPr="00FB1423" w:rsidRDefault="009E08FF" w:rsidP="009E08FF">
      <w:pPr>
        <w:suppressAutoHyphens/>
        <w:autoSpaceDE w:val="0"/>
        <w:autoSpaceDN w:val="0"/>
        <w:spacing w:after="120"/>
        <w:ind w:firstLine="567"/>
        <w:jc w:val="both"/>
        <w:textAlignment w:val="top"/>
        <w:outlineLvl w:val="0"/>
        <w:rPr>
          <w:sz w:val="24"/>
          <w:szCs w:val="24"/>
          <w:lang w:val="en-GB"/>
        </w:rPr>
      </w:pPr>
      <w:r w:rsidRPr="00FB1423">
        <w:rPr>
          <w:sz w:val="24"/>
          <w:szCs w:val="24"/>
          <w:lang w:val="en-GB"/>
        </w:rPr>
        <w:t>Carbazole</w:t>
      </w:r>
      <w:r>
        <w:rPr>
          <w:sz w:val="24"/>
          <w:szCs w:val="24"/>
          <w:lang w:val="en-GB"/>
        </w:rPr>
        <w:t xml:space="preserve"> </w:t>
      </w:r>
      <w:r>
        <w:rPr>
          <w:b/>
          <w:bCs/>
          <w:sz w:val="24"/>
          <w:szCs w:val="24"/>
          <w:lang w:val="en-GB"/>
        </w:rPr>
        <w:t>1</w:t>
      </w:r>
      <w:r>
        <w:rPr>
          <w:sz w:val="24"/>
          <w:szCs w:val="24"/>
          <w:lang w:val="en-GB"/>
        </w:rPr>
        <w:t xml:space="preserve"> subunit</w:t>
      </w:r>
      <w:r w:rsidRPr="00FB1423">
        <w:rPr>
          <w:sz w:val="24"/>
          <w:szCs w:val="24"/>
          <w:lang w:val="en-GB"/>
        </w:rPr>
        <w:t xml:space="preserve"> is a </w:t>
      </w:r>
      <w:r w:rsidR="00116BF2">
        <w:rPr>
          <w:sz w:val="24"/>
          <w:szCs w:val="24"/>
          <w:lang w:val="en-GB"/>
        </w:rPr>
        <w:t>widely used</w:t>
      </w:r>
      <w:r w:rsidRPr="00FB1423">
        <w:rPr>
          <w:sz w:val="24"/>
          <w:szCs w:val="24"/>
          <w:lang w:val="en-GB"/>
        </w:rPr>
        <w:t xml:space="preserve"> moiety in the field of purely organic phosphorescence, but </w:t>
      </w:r>
      <w:r w:rsidR="00116BF2">
        <w:rPr>
          <w:sz w:val="24"/>
          <w:szCs w:val="24"/>
          <w:lang w:val="en-GB"/>
        </w:rPr>
        <w:t>in 2021</w:t>
      </w:r>
      <w:r w:rsidRPr="00FB1423">
        <w:rPr>
          <w:sz w:val="24"/>
          <w:szCs w:val="24"/>
          <w:lang w:val="en-GB"/>
        </w:rPr>
        <w:t xml:space="preserve"> it was shown that commercially available carbazole has a</w:t>
      </w:r>
      <w:r>
        <w:rPr>
          <w:sz w:val="24"/>
          <w:szCs w:val="24"/>
          <w:lang w:val="en-GB"/>
        </w:rPr>
        <w:t>n</w:t>
      </w:r>
      <w:r w:rsidRPr="00FB1423">
        <w:rPr>
          <w:sz w:val="24"/>
          <w:szCs w:val="24"/>
          <w:lang w:val="en-GB"/>
        </w:rPr>
        <w:t xml:space="preserve"> isomeric impurity</w:t>
      </w:r>
      <w:r w:rsidR="00116BF2">
        <w:rPr>
          <w:sz w:val="24"/>
          <w:szCs w:val="24"/>
          <w:lang w:val="en-GB"/>
        </w:rPr>
        <w:t xml:space="preserve"> – benzo[</w:t>
      </w:r>
      <w:r w:rsidR="00116BF2" w:rsidRPr="00961071">
        <w:rPr>
          <w:i/>
          <w:iCs/>
          <w:sz w:val="24"/>
          <w:szCs w:val="24"/>
          <w:lang w:val="en-GB"/>
        </w:rPr>
        <w:t>f</w:t>
      </w:r>
      <w:r w:rsidR="00116BF2">
        <w:rPr>
          <w:sz w:val="24"/>
          <w:szCs w:val="24"/>
          <w:lang w:val="en-GB"/>
        </w:rPr>
        <w:t>]indole</w:t>
      </w:r>
      <w:r>
        <w:rPr>
          <w:sz w:val="24"/>
          <w:szCs w:val="24"/>
          <w:lang w:val="en-GB"/>
        </w:rPr>
        <w:t xml:space="preserve"> </w:t>
      </w:r>
      <w:r>
        <w:rPr>
          <w:b/>
          <w:bCs/>
          <w:sz w:val="24"/>
          <w:szCs w:val="24"/>
          <w:lang w:val="en-GB"/>
        </w:rPr>
        <w:t>2</w:t>
      </w:r>
      <w:r w:rsidR="00257921">
        <w:rPr>
          <w:sz w:val="24"/>
          <w:szCs w:val="24"/>
          <w:lang w:val="en-GB"/>
        </w:rPr>
        <w:t>, which</w:t>
      </w:r>
      <w:r w:rsidR="00116BF2">
        <w:rPr>
          <w:sz w:val="24"/>
          <w:szCs w:val="24"/>
          <w:lang w:val="en-GB"/>
        </w:rPr>
        <w:t xml:space="preserve"> is responsible for the </w:t>
      </w:r>
      <w:r w:rsidRPr="00FB1423">
        <w:rPr>
          <w:sz w:val="24"/>
          <w:szCs w:val="24"/>
          <w:lang w:val="en-GB"/>
        </w:rPr>
        <w:t xml:space="preserve">phosphorescence </w:t>
      </w:r>
      <w:r w:rsidR="00116BF2">
        <w:rPr>
          <w:sz w:val="24"/>
          <w:szCs w:val="24"/>
          <w:lang w:val="en-GB"/>
        </w:rPr>
        <w:t>obtained from</w:t>
      </w:r>
      <w:r w:rsidRPr="00FB1423">
        <w:rPr>
          <w:sz w:val="24"/>
          <w:szCs w:val="24"/>
          <w:lang w:val="en-GB"/>
        </w:rPr>
        <w:t xml:space="preserve"> carbazole containing luminophores</w:t>
      </w:r>
      <w:r w:rsidR="00116BF2">
        <w:rPr>
          <w:sz w:val="24"/>
          <w:szCs w:val="24"/>
          <w:lang w:val="en-GB"/>
        </w:rPr>
        <w:t>.</w:t>
      </w:r>
      <w:r w:rsidR="00257921" w:rsidRPr="00FB1423">
        <w:rPr>
          <w:sz w:val="24"/>
          <w:szCs w:val="24"/>
          <w:lang w:val="en-GB"/>
        </w:rPr>
        <w:fldChar w:fldCharType="begin"/>
      </w:r>
      <w:r w:rsidR="00257921" w:rsidRPr="00FB1423">
        <w:rPr>
          <w:sz w:val="24"/>
          <w:szCs w:val="24"/>
          <w:lang w:val="en-GB"/>
        </w:rPr>
        <w:instrText xml:space="preserve"> ADDIN ZOTERO_ITEM CSL_CITATION {"citationID":"KYF2jrFW","properties":{"formattedCitation":"\\super 2\\nosupersub{}","plainCitation":"2","noteIndex":0},"citationItems":[{"id":772,"uris":["http://zotero.org/users/local/m5uXd2Zj/items/XND88LIV"],"itemData":{"id":772,"type":"article-journal","container-title":"Nature Materials","DOI":"10.1038/s41563-020-0797-2","ISSN":"1476-1122, 1476-4660","issue":"2","journalAbbreviation":"Nat. Mater.","language":"en","page":"175-180","source":"DOI.org (Crossref)","title":"Carbazole isomers induce ultralong organic phosphorescence","volume":"20","author":[{"family":"Chen","given":"Chengjian"},{"family":"Chi","given":"Zhenguo"},{"family":"Chong","given":"Kok Chan"},{"family":"Batsanov","given":"Andrei S."},{"family":"Yang","given":"Zhan"},{"family":"Mao","given":"Zhu"},{"family":"Yang","given":"Zhiyong"},{"family":"Liu","given":"Bin"}],"issued":{"date-parts":[["2021",2]]}}}],"schema":"https://github.com/citation-style-language/schema/raw/master/csl-citation.json"} </w:instrText>
      </w:r>
      <w:r w:rsidR="00257921" w:rsidRPr="00FB1423">
        <w:rPr>
          <w:sz w:val="24"/>
          <w:szCs w:val="24"/>
          <w:lang w:val="en-GB"/>
        </w:rPr>
        <w:fldChar w:fldCharType="separate"/>
      </w:r>
      <w:r w:rsidR="00257921" w:rsidRPr="00FB1423">
        <w:rPr>
          <w:sz w:val="24"/>
          <w:szCs w:val="24"/>
          <w:vertAlign w:val="superscript"/>
          <w:lang w:val="en-GB"/>
        </w:rPr>
        <w:t>2</w:t>
      </w:r>
      <w:r w:rsidR="00257921" w:rsidRPr="00FB1423">
        <w:rPr>
          <w:sz w:val="24"/>
          <w:szCs w:val="24"/>
          <w:lang w:val="en-GB"/>
        </w:rPr>
        <w:fldChar w:fldCharType="end"/>
      </w:r>
      <w:r w:rsidR="00257921">
        <w:rPr>
          <w:sz w:val="24"/>
          <w:szCs w:val="24"/>
          <w:lang w:val="en-GB"/>
        </w:rPr>
        <w:t xml:space="preserve"> </w:t>
      </w:r>
      <w:r w:rsidRPr="00FB1423">
        <w:rPr>
          <w:sz w:val="24"/>
          <w:szCs w:val="24"/>
          <w:lang w:val="en-GB"/>
        </w:rPr>
        <w:t>Herein</w:t>
      </w:r>
      <w:r>
        <w:rPr>
          <w:sz w:val="24"/>
          <w:szCs w:val="24"/>
          <w:lang w:val="en-GB"/>
        </w:rPr>
        <w:t>,</w:t>
      </w:r>
      <w:r w:rsidRPr="00FB1423">
        <w:rPr>
          <w:sz w:val="24"/>
          <w:szCs w:val="24"/>
          <w:lang w:val="en-GB"/>
        </w:rPr>
        <w:t xml:space="preserve"> we report the synthesis of carbazoles </w:t>
      </w:r>
      <w:r>
        <w:rPr>
          <w:b/>
          <w:bCs/>
          <w:sz w:val="24"/>
          <w:szCs w:val="24"/>
          <w:lang w:val="en-GB"/>
        </w:rPr>
        <w:t>3b</w:t>
      </w:r>
      <w:r w:rsidRPr="008E0742">
        <w:rPr>
          <w:bCs/>
          <w:sz w:val="24"/>
          <w:szCs w:val="24"/>
          <w:lang w:val="en-GB"/>
        </w:rPr>
        <w:t>–</w:t>
      </w:r>
      <w:r>
        <w:rPr>
          <w:b/>
          <w:bCs/>
          <w:sz w:val="24"/>
          <w:szCs w:val="24"/>
          <w:lang w:val="en-GB"/>
        </w:rPr>
        <w:t>7b</w:t>
      </w:r>
      <w:r w:rsidRPr="00FB1423">
        <w:rPr>
          <w:sz w:val="24"/>
          <w:szCs w:val="24"/>
          <w:lang w:val="en-GB"/>
        </w:rPr>
        <w:t xml:space="preserve"> </w:t>
      </w:r>
      <w:r>
        <w:rPr>
          <w:sz w:val="24"/>
          <w:szCs w:val="24"/>
          <w:lang w:val="en-GB"/>
        </w:rPr>
        <w:t>in which</w:t>
      </w:r>
      <w:r w:rsidRPr="00FB1423">
        <w:rPr>
          <w:sz w:val="24"/>
          <w:szCs w:val="24"/>
          <w:lang w:val="en-GB"/>
        </w:rPr>
        <w:t xml:space="preserve"> the carbazole ring </w:t>
      </w:r>
      <w:r>
        <w:rPr>
          <w:sz w:val="24"/>
          <w:szCs w:val="24"/>
          <w:lang w:val="en-GB"/>
        </w:rPr>
        <w:t>was</w:t>
      </w:r>
      <w:r w:rsidRPr="00FB1423">
        <w:rPr>
          <w:sz w:val="24"/>
          <w:szCs w:val="24"/>
          <w:lang w:val="en-GB"/>
        </w:rPr>
        <w:t xml:space="preserve"> formed </w:t>
      </w:r>
      <w:r>
        <w:rPr>
          <w:sz w:val="24"/>
          <w:szCs w:val="24"/>
          <w:lang w:val="en-GB"/>
        </w:rPr>
        <w:t>through</w:t>
      </w:r>
      <w:r w:rsidRPr="00FB1423">
        <w:rPr>
          <w:sz w:val="24"/>
          <w:szCs w:val="24"/>
          <w:lang w:val="en-GB"/>
        </w:rPr>
        <w:t xml:space="preserve"> </w:t>
      </w:r>
      <w:r w:rsidRPr="00FB1423">
        <w:rPr>
          <w:i/>
          <w:iCs/>
          <w:sz w:val="24"/>
          <w:szCs w:val="24"/>
          <w:lang w:val="en-GB"/>
        </w:rPr>
        <w:t>Clauson-Kaas</w:t>
      </w:r>
      <w:r w:rsidRPr="00FB1423">
        <w:rPr>
          <w:sz w:val="24"/>
          <w:szCs w:val="24"/>
          <w:lang w:val="en-GB"/>
        </w:rPr>
        <w:t xml:space="preserve"> cyclization,</w:t>
      </w:r>
      <w:r>
        <w:rPr>
          <w:sz w:val="24"/>
          <w:szCs w:val="24"/>
          <w:lang w:val="en-GB"/>
        </w:rPr>
        <w:t xml:space="preserve"> thus</w:t>
      </w:r>
      <w:r w:rsidRPr="00FB1423">
        <w:rPr>
          <w:sz w:val="24"/>
          <w:szCs w:val="24"/>
          <w:lang w:val="en-GB"/>
        </w:rPr>
        <w:t xml:space="preserve"> avoiding</w:t>
      </w:r>
      <w:r>
        <w:rPr>
          <w:sz w:val="24"/>
          <w:szCs w:val="24"/>
          <w:lang w:val="en-GB"/>
        </w:rPr>
        <w:t xml:space="preserve"> </w:t>
      </w:r>
      <w:r w:rsidRPr="00FB1423">
        <w:rPr>
          <w:sz w:val="24"/>
          <w:szCs w:val="24"/>
          <w:lang w:val="en-GB"/>
        </w:rPr>
        <w:t xml:space="preserve">commercial impurities. </w:t>
      </w:r>
      <w:r>
        <w:rPr>
          <w:sz w:val="24"/>
          <w:szCs w:val="24"/>
          <w:lang w:val="en-GB"/>
        </w:rPr>
        <w:t>Initially</w:t>
      </w:r>
      <w:r w:rsidR="00961071">
        <w:rPr>
          <w:sz w:val="24"/>
          <w:szCs w:val="24"/>
          <w:lang w:val="en-GB"/>
        </w:rPr>
        <w:t>,</w:t>
      </w:r>
      <w:r w:rsidRPr="00FB1423">
        <w:rPr>
          <w:sz w:val="24"/>
          <w:szCs w:val="24"/>
          <w:lang w:val="en-GB"/>
        </w:rPr>
        <w:t xml:space="preserve"> carbazoles </w:t>
      </w:r>
      <w:r>
        <w:rPr>
          <w:b/>
          <w:bCs/>
          <w:sz w:val="24"/>
          <w:szCs w:val="24"/>
          <w:lang w:val="en-GB"/>
        </w:rPr>
        <w:t>3b</w:t>
      </w:r>
      <w:r w:rsidRPr="00FB1423">
        <w:rPr>
          <w:sz w:val="24"/>
          <w:szCs w:val="24"/>
          <w:lang w:val="en-GB"/>
        </w:rPr>
        <w:t>–</w:t>
      </w:r>
      <w:r>
        <w:rPr>
          <w:b/>
          <w:bCs/>
          <w:sz w:val="24"/>
          <w:szCs w:val="24"/>
          <w:lang w:val="en-GB"/>
        </w:rPr>
        <w:t>7b</w:t>
      </w:r>
      <w:r w:rsidRPr="00FB1423">
        <w:rPr>
          <w:sz w:val="24"/>
          <w:szCs w:val="24"/>
          <w:lang w:val="en-GB"/>
        </w:rPr>
        <w:t xml:space="preserve"> showed phosphorescence, </w:t>
      </w:r>
      <w:r>
        <w:rPr>
          <w:sz w:val="24"/>
          <w:szCs w:val="24"/>
          <w:lang w:val="en-GB"/>
        </w:rPr>
        <w:t>however,</w:t>
      </w:r>
      <w:r w:rsidRPr="00FB1423">
        <w:rPr>
          <w:sz w:val="24"/>
          <w:szCs w:val="24"/>
          <w:lang w:val="en-GB"/>
        </w:rPr>
        <w:t xml:space="preserve"> after laborious purification, </w:t>
      </w:r>
      <w:r>
        <w:rPr>
          <w:sz w:val="24"/>
          <w:szCs w:val="24"/>
          <w:lang w:val="en-GB"/>
        </w:rPr>
        <w:t>it</w:t>
      </w:r>
      <w:r w:rsidRPr="00FB1423">
        <w:rPr>
          <w:sz w:val="24"/>
          <w:szCs w:val="24"/>
          <w:lang w:val="en-GB"/>
        </w:rPr>
        <w:t xml:space="preserve"> disappeared.</w:t>
      </w:r>
      <w:r w:rsidR="002417F3">
        <w:rPr>
          <w:sz w:val="24"/>
          <w:szCs w:val="24"/>
          <w:lang w:val="en-GB"/>
        </w:rPr>
        <w:t xml:space="preserve"> This led us to believe, that a byproduct in the </w:t>
      </w:r>
      <w:r w:rsidR="002417F3">
        <w:rPr>
          <w:i/>
          <w:iCs/>
          <w:sz w:val="24"/>
          <w:szCs w:val="24"/>
          <w:lang w:val="en-GB"/>
        </w:rPr>
        <w:t>Clauson</w:t>
      </w:r>
      <w:r w:rsidR="002417F3">
        <w:rPr>
          <w:i/>
          <w:iCs/>
          <w:sz w:val="24"/>
          <w:szCs w:val="24"/>
          <w:lang w:val="en-GB"/>
        </w:rPr>
        <w:noBreakHyphen/>
        <w:t>Kaas</w:t>
      </w:r>
      <w:r w:rsidR="002417F3">
        <w:rPr>
          <w:sz w:val="24"/>
          <w:szCs w:val="24"/>
          <w:lang w:val="en-GB"/>
        </w:rPr>
        <w:t xml:space="preserve"> cyclization was responsible for the phosphorescence. Therefore</w:t>
      </w:r>
      <w:r w:rsidR="00961071">
        <w:rPr>
          <w:sz w:val="24"/>
          <w:szCs w:val="24"/>
          <w:lang w:val="en-GB"/>
        </w:rPr>
        <w:t>,</w:t>
      </w:r>
      <w:r w:rsidR="002417F3">
        <w:rPr>
          <w:sz w:val="24"/>
          <w:szCs w:val="24"/>
          <w:lang w:val="en-GB"/>
        </w:rPr>
        <w:t xml:space="preserve"> we created a series of two component systems, where carbazole derivatives </w:t>
      </w:r>
      <w:r w:rsidR="002417F3">
        <w:rPr>
          <w:b/>
          <w:bCs/>
          <w:sz w:val="24"/>
          <w:szCs w:val="24"/>
          <w:lang w:val="en-GB"/>
        </w:rPr>
        <w:t>3b</w:t>
      </w:r>
      <w:r w:rsidR="002417F3">
        <w:rPr>
          <w:sz w:val="24"/>
          <w:szCs w:val="24"/>
          <w:lang w:val="en-GB"/>
        </w:rPr>
        <w:t>–</w:t>
      </w:r>
      <w:r w:rsidR="002417F3">
        <w:rPr>
          <w:b/>
          <w:bCs/>
          <w:sz w:val="24"/>
          <w:szCs w:val="24"/>
          <w:lang w:val="en-GB"/>
        </w:rPr>
        <w:t>7b</w:t>
      </w:r>
      <w:r w:rsidR="002417F3">
        <w:rPr>
          <w:sz w:val="24"/>
          <w:szCs w:val="24"/>
          <w:lang w:val="en-GB"/>
        </w:rPr>
        <w:t xml:space="preserve"> were used as hosts and </w:t>
      </w:r>
      <w:r w:rsidR="002417F3" w:rsidRPr="002417F3">
        <w:rPr>
          <w:sz w:val="24"/>
          <w:szCs w:val="24"/>
          <w:lang w:val="en-GB"/>
        </w:rPr>
        <w:t xml:space="preserve">byproducts </w:t>
      </w:r>
      <w:r w:rsidR="002417F3" w:rsidRPr="002417F3">
        <w:rPr>
          <w:b/>
          <w:sz w:val="24"/>
          <w:szCs w:val="24"/>
          <w:lang w:val="en-GB"/>
        </w:rPr>
        <w:t>3c</w:t>
      </w:r>
      <w:r w:rsidR="002417F3" w:rsidRPr="002417F3">
        <w:rPr>
          <w:sz w:val="24"/>
          <w:szCs w:val="24"/>
          <w:lang w:val="en-GB"/>
        </w:rPr>
        <w:t>–</w:t>
      </w:r>
      <w:r w:rsidR="002417F3" w:rsidRPr="002417F3">
        <w:rPr>
          <w:b/>
          <w:sz w:val="24"/>
          <w:szCs w:val="24"/>
          <w:lang w:val="en-GB"/>
        </w:rPr>
        <w:t xml:space="preserve">7c </w:t>
      </w:r>
      <w:r w:rsidR="002417F3" w:rsidRPr="002417F3">
        <w:rPr>
          <w:bCs/>
          <w:sz w:val="24"/>
          <w:szCs w:val="24"/>
          <w:lang w:val="en-GB"/>
        </w:rPr>
        <w:t>and</w:t>
      </w:r>
      <w:r w:rsidR="002417F3" w:rsidRPr="002417F3">
        <w:rPr>
          <w:sz w:val="24"/>
          <w:szCs w:val="24"/>
          <w:lang w:val="en-GB"/>
        </w:rPr>
        <w:t xml:space="preserve"> </w:t>
      </w:r>
      <w:r w:rsidR="002417F3" w:rsidRPr="002417F3">
        <w:rPr>
          <w:b/>
          <w:sz w:val="24"/>
          <w:szCs w:val="24"/>
          <w:lang w:val="en-GB"/>
        </w:rPr>
        <w:t>3d</w:t>
      </w:r>
      <w:r w:rsidR="002417F3" w:rsidRPr="002417F3">
        <w:rPr>
          <w:sz w:val="24"/>
          <w:szCs w:val="24"/>
          <w:lang w:val="en-GB"/>
        </w:rPr>
        <w:t> –</w:t>
      </w:r>
      <w:r w:rsidR="002417F3" w:rsidRPr="002417F3">
        <w:rPr>
          <w:b/>
          <w:sz w:val="24"/>
          <w:szCs w:val="24"/>
          <w:lang w:val="en-GB"/>
        </w:rPr>
        <w:t>7d</w:t>
      </w:r>
      <w:r w:rsidR="002417F3" w:rsidRPr="002417F3">
        <w:rPr>
          <w:sz w:val="24"/>
          <w:szCs w:val="24"/>
          <w:lang w:val="en-GB"/>
        </w:rPr>
        <w:t xml:space="preserve"> as dopants</w:t>
      </w:r>
      <w:r w:rsidRPr="002417F3">
        <w:rPr>
          <w:sz w:val="24"/>
          <w:szCs w:val="24"/>
          <w:lang w:val="en-GB"/>
        </w:rPr>
        <w:t xml:space="preserve">. </w:t>
      </w:r>
      <w:r w:rsidR="002417F3" w:rsidRPr="002417F3">
        <w:rPr>
          <w:sz w:val="24"/>
          <w:szCs w:val="24"/>
          <w:lang w:val="en-GB"/>
        </w:rPr>
        <w:t>The two component systems where</w:t>
      </w:r>
      <w:r w:rsidRPr="002417F3">
        <w:rPr>
          <w:sz w:val="24"/>
          <w:szCs w:val="24"/>
          <w:lang w:val="en-GB"/>
        </w:rPr>
        <w:t xml:space="preserve"> </w:t>
      </w:r>
      <w:r w:rsidR="002417F3" w:rsidRPr="002417F3">
        <w:rPr>
          <w:sz w:val="24"/>
          <w:szCs w:val="24"/>
          <w:lang w:val="en-GB"/>
        </w:rPr>
        <w:t>the</w:t>
      </w:r>
      <w:r w:rsidRPr="002417F3">
        <w:rPr>
          <w:sz w:val="24"/>
          <w:szCs w:val="24"/>
          <w:lang w:val="en-GB"/>
        </w:rPr>
        <w:t xml:space="preserve"> indole derivatives </w:t>
      </w:r>
      <w:r w:rsidRPr="002417F3">
        <w:rPr>
          <w:b/>
          <w:sz w:val="24"/>
          <w:szCs w:val="24"/>
          <w:lang w:val="en-GB"/>
        </w:rPr>
        <w:t>3c</w:t>
      </w:r>
      <w:r w:rsidRPr="002417F3">
        <w:rPr>
          <w:sz w:val="24"/>
          <w:szCs w:val="24"/>
          <w:lang w:val="en-GB"/>
        </w:rPr>
        <w:t>–</w:t>
      </w:r>
      <w:r w:rsidRPr="002417F3">
        <w:rPr>
          <w:b/>
          <w:sz w:val="24"/>
          <w:szCs w:val="24"/>
          <w:lang w:val="en-GB"/>
        </w:rPr>
        <w:t>7c</w:t>
      </w:r>
      <w:r w:rsidRPr="002417F3">
        <w:rPr>
          <w:sz w:val="24"/>
          <w:szCs w:val="24"/>
          <w:lang w:val="en-GB"/>
        </w:rPr>
        <w:t xml:space="preserve"> </w:t>
      </w:r>
      <w:r w:rsidR="002417F3" w:rsidRPr="002417F3">
        <w:rPr>
          <w:sz w:val="24"/>
          <w:szCs w:val="24"/>
          <w:lang w:val="en-GB"/>
        </w:rPr>
        <w:t xml:space="preserve">were used as dopants, didn’t exhibit </w:t>
      </w:r>
      <w:r w:rsidRPr="002417F3">
        <w:rPr>
          <w:sz w:val="24"/>
          <w:szCs w:val="24"/>
          <w:lang w:val="en-GB"/>
        </w:rPr>
        <w:t>phosphorescence</w:t>
      </w:r>
      <w:r w:rsidR="002417F3" w:rsidRPr="002417F3">
        <w:rPr>
          <w:sz w:val="24"/>
          <w:szCs w:val="24"/>
          <w:lang w:val="en-GB"/>
        </w:rPr>
        <w:t>. Meanwhile</w:t>
      </w:r>
      <w:r w:rsidRPr="002417F3">
        <w:rPr>
          <w:sz w:val="24"/>
          <w:szCs w:val="24"/>
          <w:lang w:val="en-GB"/>
        </w:rPr>
        <w:t xml:space="preserve"> </w:t>
      </w:r>
      <w:r w:rsidR="002417F3" w:rsidRPr="002417F3">
        <w:rPr>
          <w:sz w:val="24"/>
          <w:szCs w:val="24"/>
          <w:lang w:val="en-GB"/>
        </w:rPr>
        <w:t>employing</w:t>
      </w:r>
      <w:r w:rsidRPr="002417F3">
        <w:rPr>
          <w:sz w:val="24"/>
          <w:szCs w:val="24"/>
          <w:lang w:val="en-GB"/>
        </w:rPr>
        <w:t xml:space="preserve"> benzo[</w:t>
      </w:r>
      <w:r w:rsidR="00A71718" w:rsidRPr="00961071">
        <w:rPr>
          <w:i/>
          <w:iCs/>
          <w:sz w:val="24"/>
          <w:szCs w:val="24"/>
          <w:lang w:val="en-GB"/>
        </w:rPr>
        <w:t>b</w:t>
      </w:r>
      <w:r w:rsidRPr="002417F3">
        <w:rPr>
          <w:sz w:val="24"/>
          <w:szCs w:val="24"/>
          <w:lang w:val="en-GB"/>
        </w:rPr>
        <w:t>]</w:t>
      </w:r>
      <w:r w:rsidR="002417F3" w:rsidRPr="002417F3">
        <w:rPr>
          <w:sz w:val="24"/>
          <w:szCs w:val="24"/>
          <w:lang w:val="en-GB"/>
        </w:rPr>
        <w:t xml:space="preserve">carbazole </w:t>
      </w:r>
      <w:r w:rsidRPr="002417F3">
        <w:rPr>
          <w:sz w:val="24"/>
          <w:szCs w:val="24"/>
          <w:lang w:val="en-GB"/>
        </w:rPr>
        <w:t xml:space="preserve">derivatives </w:t>
      </w:r>
      <w:r w:rsidR="002417F3" w:rsidRPr="002417F3">
        <w:rPr>
          <w:b/>
          <w:sz w:val="24"/>
          <w:szCs w:val="24"/>
          <w:lang w:val="en-GB"/>
        </w:rPr>
        <w:t>3d</w:t>
      </w:r>
      <w:r w:rsidR="002417F3" w:rsidRPr="002417F3">
        <w:rPr>
          <w:sz w:val="24"/>
          <w:szCs w:val="24"/>
          <w:lang w:val="en-GB"/>
        </w:rPr>
        <w:t> –</w:t>
      </w:r>
      <w:r w:rsidR="002417F3" w:rsidRPr="002417F3">
        <w:rPr>
          <w:b/>
          <w:sz w:val="24"/>
          <w:szCs w:val="24"/>
          <w:lang w:val="en-GB"/>
        </w:rPr>
        <w:t>7d</w:t>
      </w:r>
      <w:r w:rsidR="002417F3" w:rsidRPr="002417F3">
        <w:rPr>
          <w:sz w:val="24"/>
          <w:szCs w:val="24"/>
          <w:lang w:val="en-GB"/>
        </w:rPr>
        <w:t xml:space="preserve"> </w:t>
      </w:r>
      <w:r w:rsidRPr="002417F3">
        <w:rPr>
          <w:sz w:val="24"/>
          <w:szCs w:val="24"/>
          <w:lang w:val="en-GB"/>
        </w:rPr>
        <w:t>as dopants resulted in an intense phosphorescence.</w:t>
      </w:r>
      <w:r>
        <w:rPr>
          <w:sz w:val="24"/>
          <w:szCs w:val="24"/>
          <w:lang w:val="en-GB"/>
        </w:rPr>
        <w:t xml:space="preserve"> </w:t>
      </w:r>
    </w:p>
    <w:p w14:paraId="22742319" w14:textId="4F6D92AB" w:rsidR="009E08FF" w:rsidRPr="00753409" w:rsidRDefault="00366132" w:rsidP="009E08FF">
      <w:pPr>
        <w:suppressAutoHyphens/>
        <w:autoSpaceDE w:val="0"/>
        <w:autoSpaceDN w:val="0"/>
        <w:spacing w:afterLines="100" w:after="240"/>
        <w:jc w:val="center"/>
        <w:textAlignment w:val="top"/>
        <w:outlineLvl w:val="0"/>
        <w:rPr>
          <w:position w:val="-1"/>
          <w:sz w:val="24"/>
          <w:szCs w:val="24"/>
          <w:lang w:val="en-GB" w:eastAsia="ko-KR"/>
        </w:rPr>
      </w:pPr>
      <w:r>
        <w:rPr>
          <w:noProof/>
          <w:position w:val="-1"/>
          <w:sz w:val="24"/>
          <w:szCs w:val="24"/>
          <w:lang w:val="en-GB" w:eastAsia="ko-KR"/>
        </w:rPr>
        <w:drawing>
          <wp:inline distT="0" distB="0" distL="0" distR="0" wp14:anchorId="084AFE32" wp14:editId="39A09B7D">
            <wp:extent cx="5504400" cy="25812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4400" cy="2581200"/>
                    </a:xfrm>
                    <a:prstGeom prst="rect">
                      <a:avLst/>
                    </a:prstGeom>
                    <a:noFill/>
                  </pic:spPr>
                </pic:pic>
              </a:graphicData>
            </a:graphic>
          </wp:inline>
        </w:drawing>
      </w:r>
    </w:p>
    <w:p w14:paraId="5C733F10" w14:textId="11F48391" w:rsidR="009E08FF" w:rsidRPr="00754246" w:rsidRDefault="00754246" w:rsidP="00654008">
      <w:pPr>
        <w:spacing w:after="120"/>
        <w:jc w:val="center"/>
        <w:rPr>
          <w:sz w:val="22"/>
          <w:szCs w:val="22"/>
        </w:rPr>
      </w:pPr>
      <w:r>
        <w:rPr>
          <w:b/>
          <w:bCs/>
          <w:sz w:val="22"/>
          <w:szCs w:val="22"/>
        </w:rPr>
        <w:t xml:space="preserve">Fig. 1. </w:t>
      </w:r>
      <w:r w:rsidR="009E08FF" w:rsidRPr="00754246">
        <w:rPr>
          <w:sz w:val="22"/>
          <w:szCs w:val="22"/>
        </w:rPr>
        <w:t>Impurity</w:t>
      </w:r>
      <w:r w:rsidR="00366132" w:rsidRPr="00754246">
        <w:rPr>
          <w:sz w:val="22"/>
          <w:szCs w:val="22"/>
        </w:rPr>
        <w:t>-</w:t>
      </w:r>
      <w:r w:rsidR="009E08FF" w:rsidRPr="00754246">
        <w:rPr>
          <w:sz w:val="22"/>
          <w:szCs w:val="22"/>
        </w:rPr>
        <w:t xml:space="preserve">induced phosphorescence in carbazoles </w:t>
      </w:r>
      <w:r w:rsidR="009E08FF" w:rsidRPr="00754246">
        <w:rPr>
          <w:b/>
          <w:bCs/>
          <w:sz w:val="22"/>
          <w:szCs w:val="22"/>
        </w:rPr>
        <w:t>3b</w:t>
      </w:r>
      <w:r w:rsidR="009E08FF" w:rsidRPr="00754246">
        <w:rPr>
          <w:sz w:val="22"/>
          <w:szCs w:val="22"/>
        </w:rPr>
        <w:t>–</w:t>
      </w:r>
      <w:r w:rsidR="00753409" w:rsidRPr="00754246">
        <w:rPr>
          <w:b/>
          <w:bCs/>
          <w:sz w:val="22"/>
          <w:szCs w:val="22"/>
        </w:rPr>
        <w:t>7b</w:t>
      </w:r>
    </w:p>
    <w:p w14:paraId="4C471F81" w14:textId="720F96DB" w:rsidR="009E08FF" w:rsidRPr="00654008" w:rsidRDefault="009E08FF" w:rsidP="00654008">
      <w:pPr>
        <w:pStyle w:val="Heading2"/>
        <w:spacing w:afterLines="50" w:after="120"/>
        <w:jc w:val="left"/>
        <w:rPr>
          <w:sz w:val="22"/>
          <w:szCs w:val="18"/>
        </w:rPr>
      </w:pPr>
      <w:r w:rsidRPr="00654008">
        <w:rPr>
          <w:sz w:val="22"/>
          <w:szCs w:val="18"/>
        </w:rPr>
        <w:t>References</w:t>
      </w:r>
    </w:p>
    <w:p w14:paraId="1C001FCA" w14:textId="1AC6957C" w:rsidR="002417F3" w:rsidRPr="002417F3" w:rsidRDefault="002417F3" w:rsidP="002417F3">
      <w:pPr>
        <w:autoSpaceDE w:val="0"/>
        <w:autoSpaceDN w:val="0"/>
        <w:adjustRightInd w:val="0"/>
        <w:jc w:val="both"/>
        <w:rPr>
          <w:sz w:val="22"/>
          <w:lang w:val="en-GB"/>
        </w:rPr>
      </w:pPr>
      <w:r>
        <w:rPr>
          <w:sz w:val="22"/>
          <w:lang w:val="en-GB"/>
        </w:rPr>
        <w:t>[</w:t>
      </w:r>
      <w:r w:rsidRPr="002417F3">
        <w:rPr>
          <w:sz w:val="22"/>
          <w:lang w:val="en-GB"/>
        </w:rPr>
        <w:t xml:space="preserve">1] Zhao, W.; He, Z.; Lam, J. W. Y.; Peng, Q.; Ma, H.; Shuai, Z.; Bai, G.; Hao, J.; Tang, B. Z. </w:t>
      </w:r>
      <w:r w:rsidRPr="00DC304E">
        <w:rPr>
          <w:i/>
          <w:iCs/>
          <w:sz w:val="22"/>
          <w:lang w:val="en-GB"/>
        </w:rPr>
        <w:t>Chem</w:t>
      </w:r>
      <w:r w:rsidR="00DC304E">
        <w:rPr>
          <w:i/>
          <w:iCs/>
          <w:sz w:val="22"/>
          <w:lang w:val="en-GB"/>
        </w:rPr>
        <w:t xml:space="preserve"> </w:t>
      </w:r>
      <w:r w:rsidR="00DC304E">
        <w:rPr>
          <w:b/>
          <w:bCs/>
          <w:i/>
          <w:iCs/>
          <w:sz w:val="22"/>
          <w:lang w:val="en-GB"/>
        </w:rPr>
        <w:t>2016</w:t>
      </w:r>
      <w:r w:rsidR="00DC304E">
        <w:rPr>
          <w:i/>
          <w:iCs/>
          <w:sz w:val="22"/>
          <w:lang w:val="en-GB"/>
        </w:rPr>
        <w:t>, 1</w:t>
      </w:r>
      <w:r w:rsidRPr="002417F3">
        <w:rPr>
          <w:sz w:val="22"/>
          <w:lang w:val="en-GB"/>
        </w:rPr>
        <w:t>, 592–602.</w:t>
      </w:r>
    </w:p>
    <w:p w14:paraId="172B8D49" w14:textId="17C7B8C2" w:rsidR="003A168E" w:rsidRPr="00AC3447" w:rsidRDefault="002417F3" w:rsidP="002417F3">
      <w:pPr>
        <w:autoSpaceDE w:val="0"/>
        <w:autoSpaceDN w:val="0"/>
        <w:adjustRightInd w:val="0"/>
        <w:jc w:val="both"/>
        <w:rPr>
          <w:sz w:val="22"/>
          <w:lang w:val="en-GB"/>
        </w:rPr>
      </w:pPr>
      <w:r w:rsidRPr="002417F3">
        <w:rPr>
          <w:sz w:val="22"/>
          <w:lang w:val="en-GB"/>
        </w:rPr>
        <w:t xml:space="preserve">[2] Chen, C.; Chi, Z.; Chong, K. C.; </w:t>
      </w:r>
      <w:proofErr w:type="spellStart"/>
      <w:r w:rsidRPr="002417F3">
        <w:rPr>
          <w:sz w:val="22"/>
          <w:lang w:val="en-GB"/>
        </w:rPr>
        <w:t>Batsanov</w:t>
      </w:r>
      <w:proofErr w:type="spellEnd"/>
      <w:r w:rsidRPr="002417F3">
        <w:rPr>
          <w:sz w:val="22"/>
          <w:lang w:val="en-GB"/>
        </w:rPr>
        <w:t xml:space="preserve">, A. S.; Yang, Z.; Mao, Z.; Yang, Z.; Liu, B. </w:t>
      </w:r>
      <w:r w:rsidRPr="00DC304E">
        <w:rPr>
          <w:i/>
          <w:iCs/>
          <w:sz w:val="22"/>
          <w:lang w:val="en-GB"/>
        </w:rPr>
        <w:t>Nat. Mater</w:t>
      </w:r>
      <w:r w:rsidRPr="002417F3">
        <w:rPr>
          <w:sz w:val="22"/>
          <w:lang w:val="en-GB"/>
        </w:rPr>
        <w:t>.</w:t>
      </w:r>
      <w:r w:rsidR="00DC304E">
        <w:rPr>
          <w:sz w:val="22"/>
          <w:lang w:val="en-GB"/>
        </w:rPr>
        <w:t xml:space="preserve"> </w:t>
      </w:r>
      <w:r w:rsidR="00DC304E">
        <w:rPr>
          <w:b/>
          <w:bCs/>
          <w:sz w:val="22"/>
          <w:lang w:val="en-GB"/>
        </w:rPr>
        <w:t>2020</w:t>
      </w:r>
      <w:r w:rsidR="00DC304E">
        <w:rPr>
          <w:sz w:val="22"/>
          <w:lang w:val="en-GB"/>
        </w:rPr>
        <w:t>,</w:t>
      </w:r>
      <w:r w:rsidRPr="002417F3">
        <w:rPr>
          <w:sz w:val="22"/>
          <w:lang w:val="en-GB"/>
        </w:rPr>
        <w:t xml:space="preserve"> </w:t>
      </w:r>
      <w:r w:rsidR="00DC304E">
        <w:rPr>
          <w:i/>
          <w:iCs/>
          <w:sz w:val="22"/>
          <w:lang w:val="en-GB"/>
        </w:rPr>
        <w:t>20</w:t>
      </w:r>
      <w:r w:rsidRPr="002417F3">
        <w:rPr>
          <w:sz w:val="22"/>
          <w:lang w:val="en-GB"/>
        </w:rPr>
        <w:t>, 175–180.</w:t>
      </w:r>
    </w:p>
    <w:sectPr w:rsidR="003A168E" w:rsidRPr="00AC3447" w:rsidSect="001E40FF">
      <w:headerReference w:type="default" r:id="rId8"/>
      <w:type w:val="continuous"/>
      <w:pgSz w:w="11906" w:h="16838"/>
      <w:pgMar w:top="1697" w:right="1134" w:bottom="1560"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92AC6" w14:textId="77777777" w:rsidR="000C6040" w:rsidRDefault="000C6040">
      <w:r>
        <w:separator/>
      </w:r>
    </w:p>
  </w:endnote>
  <w:endnote w:type="continuationSeparator" w:id="0">
    <w:p w14:paraId="03D18844" w14:textId="77777777" w:rsidR="000C6040" w:rsidRDefault="000C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1EDDA" w14:textId="77777777" w:rsidR="000C6040" w:rsidRDefault="000C6040">
      <w:r>
        <w:separator/>
      </w:r>
    </w:p>
  </w:footnote>
  <w:footnote w:type="continuationSeparator" w:id="0">
    <w:p w14:paraId="114CDA84" w14:textId="77777777" w:rsidR="000C6040" w:rsidRDefault="000C6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27BC" w14:textId="77777777" w:rsidR="00237692" w:rsidRPr="009D4EFA" w:rsidRDefault="00237692" w:rsidP="003A168E">
    <w:pPr>
      <w:autoSpaceDE w:val="0"/>
      <w:autoSpaceDN w:val="0"/>
      <w:adjustRightInd w:val="0"/>
      <w:spacing w:after="720"/>
      <w:ind w:left="720" w:firstLine="720"/>
      <w:rPr>
        <w:lang w:val="lv-L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3D9"/>
    <w:rsid w:val="00001DB6"/>
    <w:rsid w:val="0002638B"/>
    <w:rsid w:val="00041374"/>
    <w:rsid w:val="00044693"/>
    <w:rsid w:val="00057792"/>
    <w:rsid w:val="000700A6"/>
    <w:rsid w:val="0007533A"/>
    <w:rsid w:val="00084237"/>
    <w:rsid w:val="00097128"/>
    <w:rsid w:val="000A47C2"/>
    <w:rsid w:val="000C6040"/>
    <w:rsid w:val="000D27CC"/>
    <w:rsid w:val="000F14B3"/>
    <w:rsid w:val="00116BF2"/>
    <w:rsid w:val="001234FC"/>
    <w:rsid w:val="00136802"/>
    <w:rsid w:val="00172AEB"/>
    <w:rsid w:val="001A31E6"/>
    <w:rsid w:val="001E40FF"/>
    <w:rsid w:val="0022275C"/>
    <w:rsid w:val="00237692"/>
    <w:rsid w:val="0024076E"/>
    <w:rsid w:val="002417F3"/>
    <w:rsid w:val="00257921"/>
    <w:rsid w:val="0026404A"/>
    <w:rsid w:val="002B496E"/>
    <w:rsid w:val="00305DAC"/>
    <w:rsid w:val="00320911"/>
    <w:rsid w:val="00323466"/>
    <w:rsid w:val="00336C3F"/>
    <w:rsid w:val="00366132"/>
    <w:rsid w:val="00377934"/>
    <w:rsid w:val="00380471"/>
    <w:rsid w:val="003A168E"/>
    <w:rsid w:val="003C7AA6"/>
    <w:rsid w:val="003F0FD0"/>
    <w:rsid w:val="00435F97"/>
    <w:rsid w:val="00494DD0"/>
    <w:rsid w:val="004B6FDF"/>
    <w:rsid w:val="004C0253"/>
    <w:rsid w:val="004D541F"/>
    <w:rsid w:val="005A3541"/>
    <w:rsid w:val="005B1A48"/>
    <w:rsid w:val="005F261B"/>
    <w:rsid w:val="00654008"/>
    <w:rsid w:val="0065606C"/>
    <w:rsid w:val="0067735C"/>
    <w:rsid w:val="00685934"/>
    <w:rsid w:val="006B0A16"/>
    <w:rsid w:val="006D364D"/>
    <w:rsid w:val="006E14C2"/>
    <w:rsid w:val="006E796A"/>
    <w:rsid w:val="00753409"/>
    <w:rsid w:val="00754246"/>
    <w:rsid w:val="00781E2A"/>
    <w:rsid w:val="007B1A27"/>
    <w:rsid w:val="007E7CFB"/>
    <w:rsid w:val="007F5086"/>
    <w:rsid w:val="0082699A"/>
    <w:rsid w:val="008537C0"/>
    <w:rsid w:val="00867F63"/>
    <w:rsid w:val="00886BAD"/>
    <w:rsid w:val="00890EEF"/>
    <w:rsid w:val="008E3A98"/>
    <w:rsid w:val="00906726"/>
    <w:rsid w:val="00912897"/>
    <w:rsid w:val="009235DB"/>
    <w:rsid w:val="009256B6"/>
    <w:rsid w:val="00961071"/>
    <w:rsid w:val="0096110F"/>
    <w:rsid w:val="0096484A"/>
    <w:rsid w:val="009A1094"/>
    <w:rsid w:val="009B79DA"/>
    <w:rsid w:val="009C2ABB"/>
    <w:rsid w:val="009D332A"/>
    <w:rsid w:val="009E08FF"/>
    <w:rsid w:val="009E33AA"/>
    <w:rsid w:val="009F71E0"/>
    <w:rsid w:val="00A026F9"/>
    <w:rsid w:val="00A1355F"/>
    <w:rsid w:val="00A34384"/>
    <w:rsid w:val="00A71718"/>
    <w:rsid w:val="00A73346"/>
    <w:rsid w:val="00AA28F1"/>
    <w:rsid w:val="00AA5F24"/>
    <w:rsid w:val="00AA7228"/>
    <w:rsid w:val="00AC3447"/>
    <w:rsid w:val="00B147E9"/>
    <w:rsid w:val="00BA5125"/>
    <w:rsid w:val="00BD1858"/>
    <w:rsid w:val="00BE7C3F"/>
    <w:rsid w:val="00C223B4"/>
    <w:rsid w:val="00C63CAD"/>
    <w:rsid w:val="00C8016C"/>
    <w:rsid w:val="00C82CB0"/>
    <w:rsid w:val="00C93E7D"/>
    <w:rsid w:val="00CA2EB7"/>
    <w:rsid w:val="00D96BAC"/>
    <w:rsid w:val="00DC304E"/>
    <w:rsid w:val="00DF29B9"/>
    <w:rsid w:val="00DF6739"/>
    <w:rsid w:val="00E21EE9"/>
    <w:rsid w:val="00E22686"/>
    <w:rsid w:val="00E33727"/>
    <w:rsid w:val="00E65883"/>
    <w:rsid w:val="00F27B08"/>
    <w:rsid w:val="00F41530"/>
    <w:rsid w:val="00F62ED3"/>
    <w:rsid w:val="00FD54D5"/>
    <w:rsid w:val="00FE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C458F6"/>
  <w15:docId w15:val="{12A87EB9-1871-45DC-AF3E-973804A1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qFormat/>
    <w:pPr>
      <w:keepNext/>
      <w:outlineLvl w:val="0"/>
    </w:pPr>
    <w:rPr>
      <w:sz w:val="28"/>
      <w:lang w:val="lv-LV"/>
    </w:rPr>
  </w:style>
  <w:style w:type="paragraph" w:styleId="Heading2">
    <w:name w:val="heading 2"/>
    <w:basedOn w:val="Normal"/>
    <w:next w:val="Normal"/>
    <w:qFormat/>
    <w:pPr>
      <w:keepNext/>
      <w:jc w:val="center"/>
      <w:outlineLvl w:val="1"/>
    </w:pPr>
    <w:rPr>
      <w:b/>
      <w:sz w:val="24"/>
      <w:lang w:val="lv-LV"/>
    </w:rPr>
  </w:style>
  <w:style w:type="paragraph" w:styleId="Heading3">
    <w:name w:val="heading 3"/>
    <w:basedOn w:val="Normal"/>
    <w:next w:val="Normal"/>
    <w:qFormat/>
    <w:pPr>
      <w:keepNext/>
      <w:outlineLvl w:val="2"/>
    </w:pPr>
    <w:rPr>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spacing w:line="360" w:lineRule="auto"/>
      <w:jc w:val="center"/>
    </w:pPr>
    <w:rPr>
      <w:b/>
      <w:caps/>
      <w:sz w:val="40"/>
      <w:lang w:val="en-US"/>
    </w:rPr>
  </w:style>
  <w:style w:type="paragraph" w:styleId="Title">
    <w:name w:val="Title"/>
    <w:basedOn w:val="Normal"/>
    <w:qFormat/>
    <w:pPr>
      <w:jc w:val="center"/>
    </w:pPr>
    <w:rPr>
      <w:sz w:val="28"/>
      <w:lang w:val="it-IT"/>
    </w:rPr>
  </w:style>
  <w:style w:type="paragraph" w:styleId="BodyText">
    <w:name w:val="Body Text"/>
    <w:basedOn w:val="Normal"/>
    <w:semiHidden/>
    <w:pPr>
      <w:widowControl w:val="0"/>
      <w:spacing w:line="360" w:lineRule="auto"/>
      <w:jc w:val="center"/>
    </w:pPr>
    <w:rPr>
      <w:sz w:val="32"/>
      <w:lang w:val="en-US"/>
    </w:rPr>
  </w:style>
  <w:style w:type="paragraph" w:styleId="BodyTextIndent3">
    <w:name w:val="Body Text Indent 3"/>
    <w:basedOn w:val="Normal"/>
    <w:semiHidden/>
    <w:pPr>
      <w:widowControl w:val="0"/>
      <w:spacing w:line="360" w:lineRule="auto"/>
      <w:ind w:firstLine="720"/>
      <w:jc w:val="both"/>
    </w:pPr>
    <w:rPr>
      <w:sz w:val="24"/>
      <w:lang w:val="en-US"/>
    </w:rPr>
  </w:style>
  <w:style w:type="paragraph" w:styleId="Footer">
    <w:name w:val="footer"/>
    <w:basedOn w:val="Normal"/>
    <w:semiHidden/>
    <w:pPr>
      <w:widowControl w:val="0"/>
      <w:tabs>
        <w:tab w:val="center" w:pos="4153"/>
        <w:tab w:val="right" w:pos="8306"/>
      </w:tabs>
    </w:pPr>
    <w:rPr>
      <w:sz w:val="22"/>
      <w:lang w:val="en-US"/>
    </w:rPr>
  </w:style>
  <w:style w:type="paragraph" w:styleId="BodyText3">
    <w:name w:val="Body Text 3"/>
    <w:basedOn w:val="Normal"/>
    <w:semiHidden/>
    <w:pPr>
      <w:widowControl w:val="0"/>
      <w:jc w:val="both"/>
    </w:pPr>
    <w:rPr>
      <w:sz w:val="24"/>
      <w:lang w:val="en-US"/>
    </w:rPr>
  </w:style>
  <w:style w:type="paragraph" w:styleId="BodyTextIndent">
    <w:name w:val="Body Text Indent"/>
    <w:basedOn w:val="Normal"/>
    <w:semiHidden/>
    <w:pPr>
      <w:ind w:firstLine="720"/>
      <w:jc w:val="both"/>
    </w:p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sid w:val="004B6FDF"/>
    <w:rPr>
      <w:lang w:val="en-AU"/>
    </w:rPr>
  </w:style>
  <w:style w:type="paragraph" w:styleId="BalloonText">
    <w:name w:val="Balloon Text"/>
    <w:basedOn w:val="Normal"/>
    <w:link w:val="BalloonTextChar"/>
    <w:uiPriority w:val="99"/>
    <w:semiHidden/>
    <w:unhideWhenUsed/>
    <w:rsid w:val="00912897"/>
    <w:rPr>
      <w:rFonts w:ascii="Tahoma" w:hAnsi="Tahoma" w:cs="Tahoma"/>
      <w:sz w:val="16"/>
      <w:szCs w:val="16"/>
    </w:rPr>
  </w:style>
  <w:style w:type="character" w:customStyle="1" w:styleId="BalloonTextChar">
    <w:name w:val="Balloon Text Char"/>
    <w:basedOn w:val="DefaultParagraphFont"/>
    <w:link w:val="BalloonText"/>
    <w:uiPriority w:val="99"/>
    <w:semiHidden/>
    <w:rsid w:val="00912897"/>
    <w:rPr>
      <w:rFonts w:ascii="Tahoma" w:hAnsi="Tahoma" w:cs="Tahoma"/>
      <w:sz w:val="16"/>
      <w:szCs w:val="16"/>
      <w:lang w:val="en-AU"/>
    </w:rPr>
  </w:style>
  <w:style w:type="table" w:styleId="TableGrid">
    <w:name w:val="Table Grid"/>
    <w:basedOn w:val="TableNormal"/>
    <w:uiPriority w:val="39"/>
    <w:rsid w:val="00A02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6726"/>
    <w:rPr>
      <w:color w:val="0563C1" w:themeColor="hyperlink"/>
      <w:u w:val="single"/>
    </w:rPr>
  </w:style>
  <w:style w:type="character" w:styleId="UnresolvedMention">
    <w:name w:val="Unresolved Mention"/>
    <w:basedOn w:val="DefaultParagraphFont"/>
    <w:uiPriority w:val="99"/>
    <w:semiHidden/>
    <w:unhideWhenUsed/>
    <w:rsid w:val="009E08FF"/>
    <w:rPr>
      <w:color w:val="605E5C"/>
      <w:shd w:val="clear" w:color="auto" w:fill="E1DFDD"/>
    </w:rPr>
  </w:style>
  <w:style w:type="character" w:styleId="CommentReference">
    <w:name w:val="annotation reference"/>
    <w:basedOn w:val="DefaultParagraphFont"/>
    <w:uiPriority w:val="99"/>
    <w:semiHidden/>
    <w:unhideWhenUsed/>
    <w:rsid w:val="009E08FF"/>
    <w:rPr>
      <w:sz w:val="16"/>
      <w:szCs w:val="16"/>
    </w:rPr>
  </w:style>
  <w:style w:type="paragraph" w:styleId="CommentText">
    <w:name w:val="annotation text"/>
    <w:basedOn w:val="Normal"/>
    <w:link w:val="CommentTextChar"/>
    <w:uiPriority w:val="99"/>
    <w:semiHidden/>
    <w:unhideWhenUsed/>
    <w:rsid w:val="009E08FF"/>
    <w:pPr>
      <w:spacing w:after="160"/>
    </w:pPr>
    <w:rPr>
      <w:rFonts w:asciiTheme="minorHAnsi" w:eastAsiaTheme="minorEastAsia" w:hAnsiTheme="minorHAnsi" w:cstheme="minorBidi"/>
      <w:lang w:val="da-DK"/>
    </w:rPr>
  </w:style>
  <w:style w:type="character" w:customStyle="1" w:styleId="CommentTextChar">
    <w:name w:val="Comment Text Char"/>
    <w:basedOn w:val="DefaultParagraphFont"/>
    <w:link w:val="CommentText"/>
    <w:uiPriority w:val="99"/>
    <w:semiHidden/>
    <w:rsid w:val="009E08FF"/>
    <w:rPr>
      <w:rFonts w:asciiTheme="minorHAnsi" w:eastAsiaTheme="minorEastAsia" w:hAnsiTheme="minorHAnsi" w:cstheme="minorBidi"/>
      <w:lang w:val="da-DK"/>
    </w:rPr>
  </w:style>
  <w:style w:type="paragraph" w:styleId="Bibliography">
    <w:name w:val="Bibliography"/>
    <w:basedOn w:val="Normal"/>
    <w:next w:val="Normal"/>
    <w:uiPriority w:val="37"/>
    <w:unhideWhenUsed/>
    <w:rsid w:val="009E08FF"/>
    <w:pPr>
      <w:spacing w:after="160" w:line="259" w:lineRule="auto"/>
    </w:pPr>
    <w:rPr>
      <w:rFonts w:asciiTheme="minorHAnsi" w:eastAsiaTheme="minorEastAsia" w:hAnsiTheme="minorHAnsi" w:cstheme="minorBidi"/>
      <w:sz w:val="22"/>
      <w:szCs w:val="22"/>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urs.mazarevics@osi.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vt:lpstr>
    </vt:vector>
  </TitlesOfParts>
  <Company>OSI</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Valerjan</dc:creator>
  <cp:lastModifiedBy>Artūrs Mazarevičs</cp:lastModifiedBy>
  <cp:revision>19</cp:revision>
  <cp:lastPrinted>2005-09-13T19:03:00Z</cp:lastPrinted>
  <dcterms:created xsi:type="dcterms:W3CDTF">2020-11-26T13:18:00Z</dcterms:created>
  <dcterms:modified xsi:type="dcterms:W3CDTF">2023-03-02T21:40:00Z</dcterms:modified>
</cp:coreProperties>
</file>