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3FE9" w14:textId="0AC0A514" w:rsidR="009B79DA" w:rsidRDefault="00161E0E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AZIDE-TETRAZOLE EQUILIBRIUM IN PYRIDO[3,2-</w:t>
      </w:r>
      <w:proofErr w:type="gramStart"/>
      <w:r w:rsidR="001C31D0" w:rsidRPr="001C31D0">
        <w:rPr>
          <w:b/>
          <w:i/>
          <w:iCs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]</w:t>
      </w:r>
      <w:r w:rsidR="001C31D0">
        <w:rPr>
          <w:b/>
          <w:sz w:val="24"/>
          <w:szCs w:val="24"/>
          <w:lang w:val="en-GB"/>
        </w:rPr>
        <w:t>PYRIMIDINES</w:t>
      </w:r>
      <w:proofErr w:type="gramEnd"/>
    </w:p>
    <w:p w14:paraId="4DC2B139" w14:textId="5AF53597" w:rsidR="0002638B" w:rsidRPr="0002638B" w:rsidRDefault="001C31D0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AZĪDA-TETRAZOLA LĪDZSVARS PIRIDO[3,2-</w:t>
      </w:r>
      <w:proofErr w:type="gramStart"/>
      <w:r w:rsidRPr="001C31D0">
        <w:rPr>
          <w:b/>
          <w:i/>
          <w:iCs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]PIRIMIDĪNOS</w:t>
      </w:r>
      <w:proofErr w:type="gramEnd"/>
    </w:p>
    <w:p w14:paraId="4115C0E8" w14:textId="5EE9E059" w:rsidR="009E33AA" w:rsidRPr="00906726" w:rsidRDefault="001C31D0" w:rsidP="0023769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Kristaps Leškovskis</w:t>
      </w:r>
      <w:r w:rsidR="003A168E" w:rsidRPr="003A168E">
        <w:rPr>
          <w:b/>
          <w:sz w:val="24"/>
          <w:szCs w:val="24"/>
          <w:vertAlign w:val="superscript"/>
          <w:lang w:val="en-GB"/>
        </w:rPr>
        <w:t>1</w:t>
      </w:r>
      <w:r w:rsidR="00F27B08" w:rsidRPr="00906726">
        <w:rPr>
          <w:b/>
          <w:sz w:val="24"/>
          <w:szCs w:val="24"/>
          <w:lang w:val="en-GB"/>
        </w:rPr>
        <w:t xml:space="preserve">, </w:t>
      </w:r>
      <w:r>
        <w:rPr>
          <w:b/>
          <w:sz w:val="24"/>
          <w:szCs w:val="24"/>
          <w:lang w:val="en-GB"/>
        </w:rPr>
        <w:t>Irina Novosjolova</w:t>
      </w:r>
      <w:r w:rsidRPr="001C31D0">
        <w:rPr>
          <w:b/>
          <w:sz w:val="24"/>
          <w:szCs w:val="24"/>
          <w:vertAlign w:val="superscript"/>
          <w:lang w:val="en-GB"/>
        </w:rPr>
        <w:t>1</w:t>
      </w:r>
      <w:r w:rsidR="00F62ED3" w:rsidRPr="00906726">
        <w:rPr>
          <w:b/>
          <w:sz w:val="24"/>
          <w:szCs w:val="24"/>
          <w:lang w:val="en-GB"/>
        </w:rPr>
        <w:t xml:space="preserve">, </w:t>
      </w:r>
      <w:proofErr w:type="spellStart"/>
      <w:r>
        <w:rPr>
          <w:b/>
          <w:sz w:val="24"/>
          <w:szCs w:val="24"/>
          <w:lang w:val="en-GB"/>
        </w:rPr>
        <w:t>Māris</w:t>
      </w:r>
      <w:proofErr w:type="spellEnd"/>
      <w:r>
        <w:rPr>
          <w:b/>
          <w:sz w:val="24"/>
          <w:szCs w:val="24"/>
          <w:lang w:val="en-GB"/>
        </w:rPr>
        <w:t xml:space="preserve"> Turks</w:t>
      </w:r>
      <w:r w:rsidR="003A168E" w:rsidRPr="003A168E">
        <w:rPr>
          <w:b/>
          <w:sz w:val="24"/>
          <w:szCs w:val="24"/>
          <w:vertAlign w:val="superscript"/>
          <w:lang w:val="en-GB"/>
        </w:rPr>
        <w:t>1</w:t>
      </w:r>
    </w:p>
    <w:p w14:paraId="434D2C0C" w14:textId="35C1E6CD" w:rsidR="00111675" w:rsidRPr="006B3147" w:rsidRDefault="003A168E" w:rsidP="00111675">
      <w:pPr>
        <w:pStyle w:val="Footer"/>
        <w:spacing w:before="120"/>
        <w:rPr>
          <w:i/>
          <w:sz w:val="24"/>
        </w:rPr>
      </w:pPr>
      <w:r w:rsidRPr="003A168E">
        <w:rPr>
          <w:i/>
          <w:szCs w:val="22"/>
          <w:vertAlign w:val="superscript"/>
          <w:lang w:val="en-GB"/>
        </w:rPr>
        <w:t>1</w:t>
      </w:r>
      <w:r w:rsidR="00111675" w:rsidRPr="00111675">
        <w:rPr>
          <w:i/>
          <w:szCs w:val="22"/>
        </w:rPr>
        <w:t xml:space="preserve">Institute of Technology of Organic Chemistry, Faculty of Materials Science and Applied Chemistry, Riga Technical University, P. </w:t>
      </w:r>
      <w:proofErr w:type="spellStart"/>
      <w:r w:rsidR="00111675" w:rsidRPr="00111675">
        <w:rPr>
          <w:i/>
          <w:szCs w:val="22"/>
        </w:rPr>
        <w:t>Valdena</w:t>
      </w:r>
      <w:proofErr w:type="spellEnd"/>
      <w:r w:rsidR="00111675" w:rsidRPr="00111675">
        <w:rPr>
          <w:i/>
          <w:szCs w:val="22"/>
        </w:rPr>
        <w:t xml:space="preserve"> Str. 3, Riga, LV 1048, Latvia</w:t>
      </w:r>
    </w:p>
    <w:p w14:paraId="18CF4D0E" w14:textId="5B300E3C" w:rsidR="009E33AA" w:rsidRPr="00A34384" w:rsidRDefault="00320911" w:rsidP="005B1A48">
      <w:pPr>
        <w:pStyle w:val="Footer"/>
        <w:spacing w:after="360"/>
        <w:rPr>
          <w:sz w:val="24"/>
          <w:lang w:val="it-IT"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Pr="00906726">
        <w:rPr>
          <w:i/>
          <w:snapToGrid w:val="0"/>
          <w:szCs w:val="22"/>
          <w:lang w:val="it-IT"/>
        </w:rPr>
        <w:t xml:space="preserve">: </w:t>
      </w:r>
      <w:hyperlink r:id="rId7" w:history="1">
        <w:r w:rsidR="00601B79" w:rsidRPr="004260AE">
          <w:rPr>
            <w:rStyle w:val="Hyperlink"/>
            <w:i/>
            <w:snapToGrid w:val="0"/>
            <w:szCs w:val="22"/>
            <w:lang w:val="it-IT"/>
          </w:rPr>
          <w:t>kristaps.leskovskis@rtu.lv</w:t>
        </w:r>
      </w:hyperlink>
    </w:p>
    <w:p w14:paraId="41B412A9" w14:textId="63DA1FA2" w:rsidR="009423A7" w:rsidRDefault="00FB562C" w:rsidP="00E025A2">
      <w:pPr>
        <w:autoSpaceDE w:val="0"/>
        <w:autoSpaceDN w:val="0"/>
        <w:adjustRightInd w:val="0"/>
        <w:ind w:firstLine="567"/>
        <w:jc w:val="both"/>
        <w:rPr>
          <w:sz w:val="24"/>
          <w:lang w:val="en-GB" w:bidi="en-US"/>
        </w:rPr>
      </w:pPr>
      <w:r>
        <w:rPr>
          <w:sz w:val="24"/>
          <w:lang w:val="en-US" w:bidi="en-US"/>
        </w:rPr>
        <w:t>H</w:t>
      </w:r>
      <w:r w:rsidRPr="00FB562C">
        <w:rPr>
          <w:sz w:val="24"/>
          <w:lang w:val="en-US" w:bidi="en-US"/>
        </w:rPr>
        <w:t xml:space="preserve">eterocycles with an azido-azomethine structural entity are interesting due to their intrinsic dynamic </w:t>
      </w:r>
      <w:proofErr w:type="spellStart"/>
      <w:r w:rsidRPr="00FB562C">
        <w:rPr>
          <w:sz w:val="24"/>
          <w:lang w:val="en-US" w:bidi="en-US"/>
        </w:rPr>
        <w:t>azide</w:t>
      </w:r>
      <w:proofErr w:type="spellEnd"/>
      <w:r w:rsidRPr="00FB562C">
        <w:rPr>
          <w:sz w:val="24"/>
          <w:lang w:val="en-US" w:bidi="en-US"/>
        </w:rPr>
        <w:t xml:space="preserve">-tetrazole tautomeric equilibrium in the solution phase </w:t>
      </w:r>
      <w:r w:rsidR="00580025">
        <w:rPr>
          <w:sz w:val="24"/>
          <w:lang w:val="en-US" w:bidi="en-US"/>
        </w:rPr>
        <w:t xml:space="preserve">[1] </w:t>
      </w:r>
      <w:r w:rsidRPr="00FB562C">
        <w:rPr>
          <w:sz w:val="24"/>
          <w:lang w:val="en-US" w:bidi="en-US"/>
        </w:rPr>
        <w:t xml:space="preserve">alongside rich </w:t>
      </w:r>
      <w:proofErr w:type="spellStart"/>
      <w:r w:rsidRPr="00FB562C">
        <w:rPr>
          <w:sz w:val="24"/>
          <w:lang w:val="en-US" w:bidi="en-US"/>
        </w:rPr>
        <w:t>azide</w:t>
      </w:r>
      <w:proofErr w:type="spellEnd"/>
      <w:r w:rsidRPr="00FB562C">
        <w:rPr>
          <w:sz w:val="24"/>
          <w:lang w:val="en-US" w:bidi="en-US"/>
        </w:rPr>
        <w:t xml:space="preserve"> functional group chemistry</w:t>
      </w:r>
      <w:r w:rsidR="00580025">
        <w:rPr>
          <w:sz w:val="24"/>
          <w:lang w:val="en-US" w:bidi="en-US"/>
        </w:rPr>
        <w:t xml:space="preserve"> [2]</w:t>
      </w:r>
      <w:r w:rsidRPr="00FB562C">
        <w:rPr>
          <w:sz w:val="24"/>
          <w:lang w:val="en-US" w:bidi="en-US"/>
        </w:rPr>
        <w:t>.</w:t>
      </w:r>
    </w:p>
    <w:p w14:paraId="6CB73D78" w14:textId="322E2E38" w:rsidR="00AE46EE" w:rsidRDefault="00667D3D" w:rsidP="00E025A2">
      <w:pPr>
        <w:autoSpaceDE w:val="0"/>
        <w:autoSpaceDN w:val="0"/>
        <w:adjustRightInd w:val="0"/>
        <w:ind w:firstLine="567"/>
        <w:jc w:val="both"/>
        <w:rPr>
          <w:sz w:val="24"/>
          <w:lang w:val="en-GB" w:bidi="en-US"/>
        </w:rPr>
      </w:pPr>
      <w:r>
        <w:rPr>
          <w:sz w:val="24"/>
          <w:lang w:val="en-GB" w:bidi="en-US"/>
        </w:rPr>
        <w:t>Herein, a</w:t>
      </w:r>
      <w:r w:rsidR="00E025A2" w:rsidRPr="00E025A2">
        <w:rPr>
          <w:sz w:val="24"/>
          <w:lang w:val="en-GB" w:bidi="en-US"/>
        </w:rPr>
        <w:t xml:space="preserve"> method for the synthesis of 5-substituted tetrazolo[1,5-</w:t>
      </w:r>
      <w:proofErr w:type="gramStart"/>
      <w:r w:rsidR="00E025A2" w:rsidRPr="00E025A2">
        <w:rPr>
          <w:i/>
          <w:iCs/>
          <w:sz w:val="24"/>
          <w:lang w:val="en-GB" w:bidi="en-US"/>
        </w:rPr>
        <w:t>a</w:t>
      </w:r>
      <w:r w:rsidR="00E025A2" w:rsidRPr="00E025A2">
        <w:rPr>
          <w:sz w:val="24"/>
          <w:lang w:val="en-GB" w:bidi="en-US"/>
        </w:rPr>
        <w:t>]pyrido</w:t>
      </w:r>
      <w:proofErr w:type="gramEnd"/>
      <w:r w:rsidR="00E025A2" w:rsidRPr="00E025A2">
        <w:rPr>
          <w:sz w:val="24"/>
          <w:lang w:val="en-GB" w:bidi="en-US"/>
        </w:rPr>
        <w:t>[2,3</w:t>
      </w:r>
      <w:r w:rsidR="00B30EFA">
        <w:rPr>
          <w:sz w:val="24"/>
          <w:lang w:val="en-GB" w:bidi="en-US"/>
        </w:rPr>
        <w:noBreakHyphen/>
      </w:r>
      <w:r w:rsidR="00E025A2" w:rsidRPr="00E025A2">
        <w:rPr>
          <w:i/>
          <w:iCs/>
          <w:sz w:val="24"/>
          <w:lang w:val="en-GB" w:bidi="en-US"/>
        </w:rPr>
        <w:t>e</w:t>
      </w:r>
      <w:r w:rsidR="00E025A2" w:rsidRPr="00E025A2">
        <w:rPr>
          <w:sz w:val="24"/>
          <w:lang w:val="en-GB" w:bidi="en-US"/>
        </w:rPr>
        <w:t>]</w:t>
      </w:r>
      <w:r w:rsidR="00B30EFA">
        <w:rPr>
          <w:sz w:val="24"/>
          <w:lang w:val="en-GB" w:bidi="en-US"/>
        </w:rPr>
        <w:t xml:space="preserve"> </w:t>
      </w:r>
      <w:r w:rsidR="00E025A2" w:rsidRPr="00E025A2">
        <w:rPr>
          <w:sz w:val="24"/>
          <w:lang w:val="en-GB" w:bidi="en-US"/>
        </w:rPr>
        <w:t>pyrimidines from 2,4-diazidopyrido[3,2-</w:t>
      </w:r>
      <w:r w:rsidR="00E025A2" w:rsidRPr="00E025A2">
        <w:rPr>
          <w:i/>
          <w:iCs/>
          <w:sz w:val="24"/>
          <w:lang w:val="en-GB" w:bidi="en-US"/>
        </w:rPr>
        <w:t>d</w:t>
      </w:r>
      <w:r w:rsidR="00E025A2" w:rsidRPr="00E025A2">
        <w:rPr>
          <w:sz w:val="24"/>
          <w:lang w:val="en-GB" w:bidi="en-US"/>
        </w:rPr>
        <w:t>]pyrimidine in S</w:t>
      </w:r>
      <w:r w:rsidR="00E025A2" w:rsidRPr="00E025A2">
        <w:rPr>
          <w:sz w:val="24"/>
          <w:vertAlign w:val="subscript"/>
          <w:lang w:val="en-GB" w:bidi="en-US"/>
        </w:rPr>
        <w:t>N</w:t>
      </w:r>
      <w:r w:rsidR="00E025A2" w:rsidRPr="00E025A2">
        <w:rPr>
          <w:sz w:val="24"/>
          <w:lang w:val="en-GB" w:bidi="en-US"/>
        </w:rPr>
        <w:t xml:space="preserve">Ar reactions with </w:t>
      </w:r>
      <w:r w:rsidR="00E025A2" w:rsidRPr="00E025A2">
        <w:rPr>
          <w:i/>
          <w:iCs/>
          <w:sz w:val="24"/>
          <w:lang w:val="en-GB" w:bidi="en-US"/>
        </w:rPr>
        <w:t>N</w:t>
      </w:r>
      <w:r w:rsidR="00E025A2" w:rsidRPr="00E025A2">
        <w:rPr>
          <w:sz w:val="24"/>
          <w:lang w:val="en-GB" w:bidi="en-US"/>
        </w:rPr>
        <w:t xml:space="preserve">-, </w:t>
      </w:r>
      <w:r w:rsidR="00E025A2" w:rsidRPr="00E025A2">
        <w:rPr>
          <w:i/>
          <w:iCs/>
          <w:sz w:val="24"/>
          <w:lang w:val="en-GB" w:bidi="en-US"/>
        </w:rPr>
        <w:t>O</w:t>
      </w:r>
      <w:r w:rsidR="00E025A2" w:rsidRPr="00E025A2">
        <w:rPr>
          <w:sz w:val="24"/>
          <w:lang w:val="en-GB" w:bidi="en-US"/>
        </w:rPr>
        <w:t xml:space="preserve">-, and </w:t>
      </w:r>
      <w:r w:rsidR="00E025A2" w:rsidRPr="00E025A2">
        <w:rPr>
          <w:i/>
          <w:iCs/>
          <w:sz w:val="24"/>
          <w:lang w:val="en-GB" w:bidi="en-US"/>
        </w:rPr>
        <w:t>S</w:t>
      </w:r>
      <w:r w:rsidR="00E10EE2">
        <w:rPr>
          <w:sz w:val="24"/>
          <w:lang w:val="en-GB" w:bidi="en-US"/>
        </w:rPr>
        <w:noBreakHyphen/>
        <w:t xml:space="preserve"> </w:t>
      </w:r>
      <w:r w:rsidR="00E025A2" w:rsidRPr="00E025A2">
        <w:rPr>
          <w:sz w:val="24"/>
          <w:lang w:val="en-GB" w:bidi="en-US"/>
        </w:rPr>
        <w:t xml:space="preserve">nucleophiles </w:t>
      </w:r>
      <w:r>
        <w:rPr>
          <w:sz w:val="24"/>
          <w:lang w:val="en-GB" w:bidi="en-US"/>
        </w:rPr>
        <w:t>is presented</w:t>
      </w:r>
      <w:r w:rsidR="00A509D9">
        <w:rPr>
          <w:sz w:val="24"/>
          <w:lang w:val="en-GB" w:bidi="en-US"/>
        </w:rPr>
        <w:t xml:space="preserve"> </w:t>
      </w:r>
      <w:r w:rsidR="009423A7">
        <w:rPr>
          <w:sz w:val="24"/>
          <w:lang w:val="en-GB" w:bidi="en-US"/>
        </w:rPr>
        <w:t>[</w:t>
      </w:r>
      <w:r w:rsidR="00580025">
        <w:rPr>
          <w:sz w:val="24"/>
          <w:lang w:val="en-GB" w:bidi="en-US"/>
        </w:rPr>
        <w:t>3</w:t>
      </w:r>
      <w:r w:rsidR="009423A7">
        <w:rPr>
          <w:sz w:val="24"/>
          <w:lang w:val="en-GB" w:bidi="en-US"/>
        </w:rPr>
        <w:t>]</w:t>
      </w:r>
      <w:r w:rsidR="00A509D9">
        <w:rPr>
          <w:sz w:val="24"/>
          <w:lang w:val="en-GB" w:bidi="en-US"/>
        </w:rPr>
        <w:t>.</w:t>
      </w:r>
      <w:r w:rsidR="00E025A2" w:rsidRPr="00E025A2">
        <w:rPr>
          <w:sz w:val="24"/>
          <w:lang w:val="en-GB" w:bidi="en-US"/>
        </w:rPr>
        <w:t xml:space="preserve"> </w:t>
      </w:r>
      <w:r w:rsidR="005F2ACF">
        <w:rPr>
          <w:sz w:val="24"/>
          <w:lang w:val="en-GB" w:bidi="en-US"/>
        </w:rPr>
        <w:t>T</w:t>
      </w:r>
      <w:r w:rsidR="00E025A2" w:rsidRPr="00E025A2">
        <w:rPr>
          <w:sz w:val="24"/>
          <w:lang w:val="en-GB" w:bidi="en-US"/>
        </w:rPr>
        <w:t>he tetrazolo[1,5-</w:t>
      </w:r>
      <w:r w:rsidR="00E025A2" w:rsidRPr="00E025A2">
        <w:rPr>
          <w:i/>
          <w:iCs/>
          <w:sz w:val="24"/>
          <w:lang w:val="en-GB" w:bidi="en-US"/>
        </w:rPr>
        <w:t>a</w:t>
      </w:r>
      <w:r w:rsidR="00E025A2" w:rsidRPr="00E025A2">
        <w:rPr>
          <w:sz w:val="24"/>
          <w:lang w:val="en-GB" w:bidi="en-US"/>
        </w:rPr>
        <w:t>]pyrimidine derivatives can be regarded as 2</w:t>
      </w:r>
      <w:r w:rsidR="00E10EE2">
        <w:rPr>
          <w:sz w:val="24"/>
          <w:lang w:val="en-GB" w:bidi="en-US"/>
        </w:rPr>
        <w:noBreakHyphen/>
      </w:r>
      <w:r w:rsidR="00E025A2" w:rsidRPr="00E025A2">
        <w:rPr>
          <w:sz w:val="24"/>
          <w:lang w:val="en-GB" w:bidi="en-US"/>
        </w:rPr>
        <w:t xml:space="preserve">azidopyrimidines </w:t>
      </w:r>
      <w:r w:rsidR="00C4612D">
        <w:rPr>
          <w:sz w:val="24"/>
          <w:lang w:val="en-GB" w:bidi="en-US"/>
        </w:rPr>
        <w:t xml:space="preserve">due to </w:t>
      </w:r>
      <w:r w:rsidR="00634284">
        <w:rPr>
          <w:sz w:val="24"/>
          <w:lang w:val="en-GB" w:bidi="en-US"/>
        </w:rPr>
        <w:t xml:space="preserve">present </w:t>
      </w:r>
      <w:proofErr w:type="spellStart"/>
      <w:r w:rsidR="00634284">
        <w:rPr>
          <w:sz w:val="24"/>
          <w:lang w:val="en-GB" w:bidi="en-US"/>
        </w:rPr>
        <w:t>azide</w:t>
      </w:r>
      <w:proofErr w:type="spellEnd"/>
      <w:r w:rsidR="00634284">
        <w:rPr>
          <w:sz w:val="24"/>
          <w:lang w:val="en-GB" w:bidi="en-US"/>
        </w:rPr>
        <w:t>-tetrazole valance tautomerism</w:t>
      </w:r>
      <w:r w:rsidR="00681223">
        <w:rPr>
          <w:sz w:val="24"/>
          <w:lang w:val="en-GB" w:bidi="en-US"/>
        </w:rPr>
        <w:t xml:space="preserve"> </w:t>
      </w:r>
      <w:r w:rsidR="00E025A2" w:rsidRPr="00E025A2">
        <w:rPr>
          <w:sz w:val="24"/>
          <w:lang w:val="en-GB" w:bidi="en-US"/>
        </w:rPr>
        <w:t>and functionalized in copper(I)-</w:t>
      </w:r>
      <w:proofErr w:type="spellStart"/>
      <w:r w:rsidR="00E025A2" w:rsidRPr="00E025A2">
        <w:rPr>
          <w:sz w:val="24"/>
          <w:lang w:val="en-GB" w:bidi="en-US"/>
        </w:rPr>
        <w:t>catalyzed</w:t>
      </w:r>
      <w:proofErr w:type="spellEnd"/>
      <w:r w:rsidR="00E025A2" w:rsidRPr="00E025A2">
        <w:rPr>
          <w:sz w:val="24"/>
          <w:lang w:val="en-GB" w:bidi="en-US"/>
        </w:rPr>
        <w:t xml:space="preserve"> </w:t>
      </w:r>
      <w:proofErr w:type="spellStart"/>
      <w:r w:rsidR="00E025A2" w:rsidRPr="00E025A2">
        <w:rPr>
          <w:sz w:val="24"/>
          <w:lang w:val="en-GB" w:bidi="en-US"/>
        </w:rPr>
        <w:t>azide</w:t>
      </w:r>
      <w:proofErr w:type="spellEnd"/>
      <w:r w:rsidR="00E025A2" w:rsidRPr="00E025A2">
        <w:rPr>
          <w:sz w:val="24"/>
          <w:lang w:val="en-GB" w:bidi="en-US"/>
        </w:rPr>
        <w:t>-alkyne dipolar cycloaddition (</w:t>
      </w:r>
      <w:proofErr w:type="spellStart"/>
      <w:r w:rsidR="00E025A2" w:rsidRPr="00E025A2">
        <w:rPr>
          <w:sz w:val="24"/>
          <w:lang w:val="en-GB" w:bidi="en-US"/>
        </w:rPr>
        <w:t>CuAAC</w:t>
      </w:r>
      <w:proofErr w:type="spellEnd"/>
      <w:r w:rsidR="00E025A2" w:rsidRPr="00E025A2">
        <w:rPr>
          <w:sz w:val="24"/>
          <w:lang w:val="en-GB" w:bidi="en-US"/>
        </w:rPr>
        <w:t>) and Staudinger reactions</w:t>
      </w:r>
      <w:r w:rsidR="00634284">
        <w:rPr>
          <w:sz w:val="24"/>
          <w:lang w:val="en-GB" w:bidi="en-US"/>
        </w:rPr>
        <w:t>.</w:t>
      </w:r>
      <w:r w:rsidR="00AE46EE">
        <w:rPr>
          <w:sz w:val="24"/>
          <w:lang w:val="en-GB" w:bidi="en-US"/>
        </w:rPr>
        <w:t xml:space="preserve"> </w:t>
      </w:r>
    </w:p>
    <w:p w14:paraId="6B1A900C" w14:textId="3B0D3E45" w:rsidR="00E025A2" w:rsidRPr="00E025A2" w:rsidRDefault="00E025A2" w:rsidP="00884FAD">
      <w:pPr>
        <w:autoSpaceDE w:val="0"/>
        <w:autoSpaceDN w:val="0"/>
        <w:adjustRightInd w:val="0"/>
        <w:ind w:firstLine="567"/>
        <w:jc w:val="both"/>
        <w:rPr>
          <w:sz w:val="24"/>
          <w:lang w:val="en-GB" w:bidi="en-US"/>
        </w:rPr>
      </w:pPr>
      <w:r w:rsidRPr="00E025A2">
        <w:rPr>
          <w:sz w:val="24"/>
          <w:lang w:val="en-GB" w:bidi="en-US"/>
        </w:rPr>
        <w:t xml:space="preserve">Equilibrium constants and thermodynamic values were determined using variable temperature </w:t>
      </w:r>
      <w:r w:rsidRPr="00E025A2">
        <w:rPr>
          <w:sz w:val="24"/>
          <w:vertAlign w:val="superscript"/>
          <w:lang w:val="en-GB" w:bidi="en-US"/>
        </w:rPr>
        <w:t>1</w:t>
      </w:r>
      <w:r w:rsidRPr="00E025A2">
        <w:rPr>
          <w:sz w:val="24"/>
          <w:lang w:val="en-GB" w:bidi="en-US"/>
        </w:rPr>
        <w:t xml:space="preserve">H NMR and </w:t>
      </w:r>
      <w:r w:rsidR="007D2B35">
        <w:rPr>
          <w:sz w:val="24"/>
          <w:lang w:val="en-GB" w:bidi="en-US"/>
        </w:rPr>
        <w:t xml:space="preserve">were found to be </w:t>
      </w:r>
      <w:r w:rsidRPr="00E025A2">
        <w:rPr>
          <w:sz w:val="24"/>
          <w:lang w:val="en-GB" w:bidi="en-US"/>
        </w:rPr>
        <w:t>ΔG</w:t>
      </w:r>
      <w:r w:rsidRPr="00E025A2">
        <w:rPr>
          <w:sz w:val="24"/>
          <w:vertAlign w:val="subscript"/>
          <w:lang w:val="en-GB" w:bidi="en-US"/>
        </w:rPr>
        <w:t>298</w:t>
      </w:r>
      <w:r w:rsidRPr="00E025A2">
        <w:rPr>
          <w:sz w:val="24"/>
          <w:lang w:val="en-GB" w:bidi="en-US"/>
        </w:rPr>
        <w:t xml:space="preserve"> = −3.33 to −7.52 (kJ/mol), ΔH</w:t>
      </w:r>
      <w:r w:rsidR="00B30EFA">
        <w:rPr>
          <w:sz w:val="24"/>
          <w:lang w:val="en-GB" w:bidi="en-US"/>
        </w:rPr>
        <w:t> </w:t>
      </w:r>
      <w:r w:rsidRPr="00E025A2">
        <w:rPr>
          <w:sz w:val="24"/>
          <w:lang w:val="en-GB" w:bidi="en-US"/>
        </w:rPr>
        <w:t>=</w:t>
      </w:r>
      <w:r w:rsidR="00B30EFA">
        <w:rPr>
          <w:sz w:val="24"/>
          <w:lang w:val="en-GB" w:bidi="en-US"/>
        </w:rPr>
        <w:t> </w:t>
      </w:r>
      <w:r w:rsidRPr="00E025A2">
        <w:rPr>
          <w:sz w:val="24"/>
          <w:lang w:val="en-GB" w:bidi="en-US"/>
        </w:rPr>
        <w:t>−19.92</w:t>
      </w:r>
      <w:r w:rsidR="00B30EFA">
        <w:rPr>
          <w:sz w:val="24"/>
          <w:lang w:val="en-GB" w:bidi="en-US"/>
        </w:rPr>
        <w:t> </w:t>
      </w:r>
      <w:r w:rsidRPr="00E025A2">
        <w:rPr>
          <w:sz w:val="24"/>
          <w:lang w:val="en-GB" w:bidi="en-US"/>
        </w:rPr>
        <w:t>to</w:t>
      </w:r>
      <w:r w:rsidR="00B30EFA">
        <w:rPr>
          <w:sz w:val="24"/>
          <w:lang w:val="en-GB" w:bidi="en-US"/>
        </w:rPr>
        <w:t> </w:t>
      </w:r>
      <w:r w:rsidRPr="00E025A2">
        <w:rPr>
          <w:sz w:val="24"/>
          <w:lang w:val="en-GB" w:bidi="en-US"/>
        </w:rPr>
        <w:t>−48.02 (kJ/mol) and ΔS</w:t>
      </w:r>
      <w:r w:rsidRPr="00E025A2">
        <w:rPr>
          <w:sz w:val="24"/>
          <w:vertAlign w:val="subscript"/>
          <w:lang w:val="en-GB" w:bidi="en-US"/>
        </w:rPr>
        <w:t xml:space="preserve"> </w:t>
      </w:r>
      <w:r w:rsidRPr="00E025A2">
        <w:rPr>
          <w:sz w:val="24"/>
          <w:lang w:val="en-GB" w:bidi="en-US"/>
        </w:rPr>
        <w:t>= −43.74 to −143.27 (J/</w:t>
      </w:r>
      <w:proofErr w:type="spellStart"/>
      <w:r w:rsidRPr="00E025A2">
        <w:rPr>
          <w:sz w:val="24"/>
          <w:lang w:val="en-GB" w:bidi="en-US"/>
        </w:rPr>
        <w:t>mol·K</w:t>
      </w:r>
      <w:proofErr w:type="spellEnd"/>
      <w:r w:rsidRPr="00E025A2">
        <w:rPr>
          <w:sz w:val="24"/>
          <w:lang w:val="en-GB" w:bidi="en-US"/>
        </w:rPr>
        <w:t>).</w:t>
      </w:r>
      <w:r w:rsidR="00B41071">
        <w:rPr>
          <w:sz w:val="24"/>
          <w:lang w:val="en-GB" w:bidi="en-US"/>
        </w:rPr>
        <w:t xml:space="preserve"> The negative Gibbs free energy values </w:t>
      </w:r>
      <w:r w:rsidR="006029CF">
        <w:rPr>
          <w:sz w:val="24"/>
          <w:lang w:val="en-GB" w:bidi="en-US"/>
        </w:rPr>
        <w:t>assert tetrazole as the major tautomeric form in solutions. Furthermore, t</w:t>
      </w:r>
      <w:r w:rsidRPr="00E025A2">
        <w:rPr>
          <w:sz w:val="24"/>
          <w:lang w:val="en-GB" w:bidi="en-US"/>
        </w:rPr>
        <w:t>he key starting material 2,4-diazidopyrido[3,2-</w:t>
      </w:r>
      <w:proofErr w:type="gramStart"/>
      <w:r w:rsidRPr="00E025A2">
        <w:rPr>
          <w:i/>
          <w:iCs/>
          <w:sz w:val="24"/>
          <w:lang w:val="en-GB" w:bidi="en-US"/>
        </w:rPr>
        <w:t>d</w:t>
      </w:r>
      <w:r w:rsidRPr="00E025A2">
        <w:rPr>
          <w:sz w:val="24"/>
          <w:lang w:val="en-GB" w:bidi="en-US"/>
        </w:rPr>
        <w:t>]pyrimidine</w:t>
      </w:r>
      <w:proofErr w:type="gramEnd"/>
      <w:r w:rsidRPr="00E025A2">
        <w:rPr>
          <w:sz w:val="24"/>
          <w:lang w:val="en-GB" w:bidi="en-US"/>
        </w:rPr>
        <w:t xml:space="preserve"> </w:t>
      </w:r>
      <w:r w:rsidR="00884FAD">
        <w:rPr>
          <w:sz w:val="24"/>
          <w:lang w:val="en-GB" w:bidi="en-US"/>
        </w:rPr>
        <w:t xml:space="preserve">shows </w:t>
      </w:r>
      <w:r w:rsidRPr="00E025A2">
        <w:rPr>
          <w:sz w:val="24"/>
          <w:lang w:val="en-GB" w:bidi="en-US"/>
        </w:rPr>
        <w:t>a high degree of tautomerization</w:t>
      </w:r>
      <w:r w:rsidR="008D1541">
        <w:rPr>
          <w:sz w:val="24"/>
          <w:lang w:val="en-GB" w:bidi="en-US"/>
        </w:rPr>
        <w:t xml:space="preserve"> </w:t>
      </w:r>
      <w:r w:rsidRPr="00E025A2">
        <w:rPr>
          <w:sz w:val="24"/>
          <w:lang w:val="en-GB" w:bidi="en-US"/>
        </w:rPr>
        <w:t>in different solvents</w:t>
      </w:r>
      <w:r w:rsidR="008D1541">
        <w:rPr>
          <w:sz w:val="24"/>
          <w:lang w:val="en-GB" w:bidi="en-US"/>
        </w:rPr>
        <w:t xml:space="preserve"> presenting up to 7 tautomeric forms</w:t>
      </w:r>
      <w:r w:rsidRPr="00E025A2">
        <w:rPr>
          <w:sz w:val="24"/>
          <w:lang w:val="en-GB" w:bidi="en-US"/>
        </w:rPr>
        <w:t>.</w:t>
      </w:r>
    </w:p>
    <w:p w14:paraId="7AE0B7F0" w14:textId="77777777" w:rsidR="00B97E9C" w:rsidRDefault="00B97E9C" w:rsidP="0067735C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</w:p>
    <w:p w14:paraId="2EA11F59" w14:textId="030C22CE" w:rsidR="00B97E9C" w:rsidRPr="009B79DA" w:rsidRDefault="002F212E" w:rsidP="002F212E">
      <w:pPr>
        <w:autoSpaceDE w:val="0"/>
        <w:autoSpaceDN w:val="0"/>
        <w:adjustRightInd w:val="0"/>
        <w:jc w:val="both"/>
        <w:rPr>
          <w:sz w:val="24"/>
          <w:lang w:val="en-GB"/>
        </w:rPr>
      </w:pPr>
      <w:r>
        <w:object w:dxaOrig="10058" w:dyaOrig="1416" w14:anchorId="3AC20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3.7pt" o:ole="">
            <v:imagedata r:id="rId8" o:title=""/>
          </v:shape>
          <o:OLEObject Type="Embed" ProgID="ChemDraw.Document.6.0" ShapeID="_x0000_i1025" DrawAspect="Content" ObjectID="_1739374585" r:id="rId9"/>
        </w:object>
      </w:r>
    </w:p>
    <w:p w14:paraId="71FAEF35" w14:textId="3C4580D5" w:rsidR="00F27B08" w:rsidRPr="00906726" w:rsidRDefault="00532DEE" w:rsidP="009423A7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Scheme</w:t>
      </w:r>
      <w:r w:rsidR="001E40FF" w:rsidRPr="00906726">
        <w:rPr>
          <w:b/>
          <w:sz w:val="22"/>
          <w:szCs w:val="22"/>
          <w:lang w:val="en-GB"/>
        </w:rPr>
        <w:t xml:space="preserve"> 1. </w:t>
      </w:r>
      <w:r w:rsidR="00AC3447" w:rsidRPr="00906726">
        <w:rPr>
          <w:sz w:val="22"/>
          <w:szCs w:val="22"/>
          <w:lang w:val="en-GB"/>
        </w:rPr>
        <w:t xml:space="preserve"> </w:t>
      </w:r>
      <w:proofErr w:type="spellStart"/>
      <w:r w:rsidR="0040785B">
        <w:rPr>
          <w:sz w:val="22"/>
          <w:szCs w:val="22"/>
          <w:lang w:val="en-GB"/>
        </w:rPr>
        <w:t>Azide</w:t>
      </w:r>
      <w:proofErr w:type="spellEnd"/>
      <w:r w:rsidR="0040785B">
        <w:rPr>
          <w:sz w:val="22"/>
          <w:szCs w:val="22"/>
          <w:lang w:val="en-GB"/>
        </w:rPr>
        <w:t>-</w:t>
      </w:r>
      <w:r w:rsidR="00251F84">
        <w:rPr>
          <w:sz w:val="22"/>
          <w:szCs w:val="22"/>
          <w:lang w:val="en-GB"/>
        </w:rPr>
        <w:t>t</w:t>
      </w:r>
      <w:r w:rsidR="0040785B">
        <w:rPr>
          <w:sz w:val="22"/>
          <w:szCs w:val="22"/>
          <w:lang w:val="en-GB"/>
        </w:rPr>
        <w:t xml:space="preserve">etrazole equilibrium guided </w:t>
      </w:r>
      <w:r w:rsidR="00251F84">
        <w:rPr>
          <w:sz w:val="22"/>
          <w:szCs w:val="22"/>
          <w:lang w:val="en-GB"/>
        </w:rPr>
        <w:t>S</w:t>
      </w:r>
      <w:r w:rsidR="00251F84" w:rsidRPr="00251F84">
        <w:rPr>
          <w:sz w:val="22"/>
          <w:szCs w:val="22"/>
          <w:vertAlign w:val="subscript"/>
          <w:lang w:val="en-GB"/>
        </w:rPr>
        <w:t>N</w:t>
      </w:r>
      <w:r w:rsidR="00251F84">
        <w:rPr>
          <w:sz w:val="22"/>
          <w:szCs w:val="22"/>
          <w:lang w:val="en-GB"/>
        </w:rPr>
        <w:t>Ar reaction of azidopyrimidines</w:t>
      </w:r>
      <w:r>
        <w:rPr>
          <w:sz w:val="22"/>
          <w:szCs w:val="22"/>
          <w:lang w:val="en-GB"/>
        </w:rPr>
        <w:t>.</w:t>
      </w:r>
      <w:r w:rsidR="00906726">
        <w:rPr>
          <w:sz w:val="22"/>
          <w:szCs w:val="22"/>
          <w:lang w:val="en-GB"/>
        </w:rPr>
        <w:t xml:space="preserve"> </w:t>
      </w:r>
    </w:p>
    <w:p w14:paraId="42B7A6B6" w14:textId="3288E0A5" w:rsidR="00F41530" w:rsidRDefault="00F41530" w:rsidP="00867F63">
      <w:pPr>
        <w:pStyle w:val="BodyTextIndent"/>
        <w:spacing w:after="120"/>
        <w:ind w:firstLine="0"/>
        <w:rPr>
          <w:sz w:val="22"/>
          <w:lang w:val="en-GB"/>
        </w:rPr>
      </w:pPr>
    </w:p>
    <w:p w14:paraId="76FAFBAA" w14:textId="77777777" w:rsidR="00124B83" w:rsidRPr="00124B83" w:rsidRDefault="00124B83" w:rsidP="00124B83">
      <w:pPr>
        <w:pStyle w:val="BodyTextIndent"/>
        <w:spacing w:after="120"/>
        <w:ind w:firstLine="0"/>
        <w:rPr>
          <w:sz w:val="22"/>
          <w:lang w:val="de-DE"/>
        </w:rPr>
      </w:pPr>
      <w:r w:rsidRPr="00124B83">
        <w:rPr>
          <w:b/>
          <w:bCs/>
          <w:i/>
          <w:iCs/>
          <w:sz w:val="22"/>
        </w:rPr>
        <w:t>Acknowledgements:</w:t>
      </w:r>
      <w:r w:rsidRPr="00124B83">
        <w:rPr>
          <w:b/>
          <w:sz w:val="22"/>
        </w:rPr>
        <w:t xml:space="preserve"> </w:t>
      </w:r>
      <w:r w:rsidRPr="00124B83">
        <w:rPr>
          <w:sz w:val="22"/>
          <w:lang w:val="en-US"/>
        </w:rPr>
        <w:t>The authors thank the Latvian Council of Science Grant LZP</w:t>
      </w:r>
      <w:r w:rsidRPr="00124B83">
        <w:rPr>
          <w:sz w:val="22"/>
          <w:lang w:val="en-US"/>
        </w:rPr>
        <w:noBreakHyphen/>
        <w:t>2020/1</w:t>
      </w:r>
      <w:r w:rsidRPr="00124B83">
        <w:rPr>
          <w:sz w:val="22"/>
          <w:lang w:val="en-US"/>
        </w:rPr>
        <w:noBreakHyphen/>
        <w:t>0348 for financial support. K.L. thanks the European Social fund within project Nr. 8.2.2.0/20/I/008.</w:t>
      </w:r>
    </w:p>
    <w:p w14:paraId="481EF641" w14:textId="77777777" w:rsidR="00A509D9" w:rsidRPr="009B79DA" w:rsidRDefault="00A509D9" w:rsidP="00867F63">
      <w:pPr>
        <w:pStyle w:val="BodyTextIndent"/>
        <w:spacing w:after="120"/>
        <w:ind w:firstLine="0"/>
        <w:rPr>
          <w:sz w:val="22"/>
          <w:lang w:val="en-GB"/>
        </w:rPr>
      </w:pPr>
    </w:p>
    <w:p w14:paraId="1A8361AC" w14:textId="0A2D0881" w:rsidR="009E33AA" w:rsidRPr="009B79DA" w:rsidRDefault="00E21EE9" w:rsidP="00867F63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</w:p>
    <w:p w14:paraId="0BA3E407" w14:textId="76CC8E85" w:rsidR="009423A7" w:rsidRPr="0040785B" w:rsidRDefault="009423A7" w:rsidP="00AC3447">
      <w:pPr>
        <w:jc w:val="both"/>
        <w:rPr>
          <w:sz w:val="22"/>
          <w:lang w:val="en-US" w:bidi="en-US"/>
        </w:rPr>
      </w:pPr>
      <w:r>
        <w:rPr>
          <w:sz w:val="22"/>
          <w:lang w:val="en-GB"/>
        </w:rPr>
        <w:t xml:space="preserve">[1] </w:t>
      </w:r>
      <w:r w:rsidR="00AE4528">
        <w:rPr>
          <w:sz w:val="22"/>
          <w:lang w:val="en-GB"/>
        </w:rPr>
        <w:t xml:space="preserve">a) </w:t>
      </w:r>
      <w:proofErr w:type="spellStart"/>
      <w:r w:rsidR="00D26259" w:rsidRPr="00D26259">
        <w:rPr>
          <w:sz w:val="22"/>
          <w:lang w:val="en-GB" w:bidi="en-US"/>
        </w:rPr>
        <w:t>Sebris</w:t>
      </w:r>
      <w:proofErr w:type="spellEnd"/>
      <w:r w:rsidR="00D26259" w:rsidRPr="00D26259">
        <w:rPr>
          <w:sz w:val="22"/>
          <w:lang w:val="en-GB" w:bidi="en-US"/>
        </w:rPr>
        <w:t xml:space="preserve">, A.; Turks, M. </w:t>
      </w:r>
      <w:r w:rsidR="00D26259" w:rsidRPr="00D26259">
        <w:rPr>
          <w:i/>
          <w:iCs/>
          <w:sz w:val="22"/>
          <w:lang w:val="en-GB" w:bidi="en-US"/>
        </w:rPr>
        <w:t xml:space="preserve">Chem. </w:t>
      </w:r>
      <w:proofErr w:type="spellStart"/>
      <w:r w:rsidR="00D26259" w:rsidRPr="00D26259">
        <w:rPr>
          <w:i/>
          <w:iCs/>
          <w:sz w:val="22"/>
          <w:lang w:val="en-GB" w:bidi="en-US"/>
        </w:rPr>
        <w:t>Heterocycl</w:t>
      </w:r>
      <w:proofErr w:type="spellEnd"/>
      <w:r w:rsidR="00D26259" w:rsidRPr="00D26259">
        <w:rPr>
          <w:i/>
          <w:iCs/>
          <w:sz w:val="22"/>
          <w:lang w:val="en-GB" w:bidi="en-US"/>
        </w:rPr>
        <w:t xml:space="preserve">. Compd. </w:t>
      </w:r>
      <w:r w:rsidR="00D26259" w:rsidRPr="00D26259">
        <w:rPr>
          <w:b/>
          <w:bCs/>
          <w:sz w:val="22"/>
          <w:lang w:val="en-GB" w:bidi="en-US"/>
        </w:rPr>
        <w:t>2019</w:t>
      </w:r>
      <w:r w:rsidR="00D26259" w:rsidRPr="00D26259">
        <w:rPr>
          <w:sz w:val="22"/>
          <w:lang w:val="en-GB" w:bidi="en-US"/>
        </w:rPr>
        <w:t xml:space="preserve">, </w:t>
      </w:r>
      <w:r w:rsidR="00D26259" w:rsidRPr="00D26259">
        <w:rPr>
          <w:i/>
          <w:iCs/>
          <w:sz w:val="22"/>
          <w:lang w:val="en-GB" w:bidi="en-US"/>
        </w:rPr>
        <w:t>55</w:t>
      </w:r>
      <w:r w:rsidR="00D26259" w:rsidRPr="00D26259">
        <w:rPr>
          <w:sz w:val="22"/>
          <w:lang w:val="en-GB" w:bidi="en-US"/>
        </w:rPr>
        <w:t xml:space="preserve">, 1041–1043. </w:t>
      </w:r>
      <w:r w:rsidR="00E0223A">
        <w:rPr>
          <w:sz w:val="22"/>
          <w:lang w:val="en-GB" w:bidi="en-US"/>
        </w:rPr>
        <w:t xml:space="preserve">b) </w:t>
      </w:r>
      <w:proofErr w:type="spellStart"/>
      <w:r w:rsidR="00D26259" w:rsidRPr="00D26259">
        <w:rPr>
          <w:sz w:val="22"/>
          <w:lang w:val="en-GB" w:bidi="en-US"/>
        </w:rPr>
        <w:t>Ti</w:t>
      </w:r>
      <w:proofErr w:type="spellEnd"/>
      <w:r w:rsidR="00D26259" w:rsidRPr="00D26259">
        <w:rPr>
          <w:sz w:val="22"/>
          <w:lang w:val="lv-LV"/>
        </w:rPr>
        <w:t>šler</w:t>
      </w:r>
      <w:r w:rsidR="00D26259" w:rsidRPr="00D26259">
        <w:rPr>
          <w:sz w:val="22"/>
          <w:lang w:val="en-GB" w:bidi="en-US"/>
        </w:rPr>
        <w:t xml:space="preserve">, M. </w:t>
      </w:r>
      <w:r w:rsidR="00D26259" w:rsidRPr="00D26259">
        <w:rPr>
          <w:i/>
          <w:iCs/>
          <w:sz w:val="22"/>
          <w:lang w:val="en-GB" w:bidi="en-US"/>
        </w:rPr>
        <w:t>Synthesis</w:t>
      </w:r>
      <w:r w:rsidR="00D26259" w:rsidRPr="00D26259">
        <w:rPr>
          <w:sz w:val="22"/>
          <w:lang w:val="en-GB" w:bidi="en-US"/>
        </w:rPr>
        <w:t xml:space="preserve"> </w:t>
      </w:r>
      <w:r w:rsidR="00D26259" w:rsidRPr="00D26259">
        <w:rPr>
          <w:b/>
          <w:bCs/>
          <w:sz w:val="22"/>
          <w:lang w:val="en-GB" w:bidi="en-US"/>
        </w:rPr>
        <w:t>1973</w:t>
      </w:r>
      <w:r w:rsidR="00D26259" w:rsidRPr="00D26259">
        <w:rPr>
          <w:sz w:val="22"/>
          <w:lang w:val="en-GB" w:bidi="en-US"/>
        </w:rPr>
        <w:t xml:space="preserve">, </w:t>
      </w:r>
      <w:r w:rsidR="00D26259" w:rsidRPr="00D26259">
        <w:rPr>
          <w:i/>
          <w:iCs/>
          <w:sz w:val="22"/>
          <w:lang w:val="en-GB" w:bidi="en-US"/>
        </w:rPr>
        <w:t>1973</w:t>
      </w:r>
      <w:r w:rsidR="00D26259" w:rsidRPr="00D26259">
        <w:rPr>
          <w:sz w:val="22"/>
          <w:lang w:val="en-GB" w:bidi="en-US"/>
        </w:rPr>
        <w:t>, 123–136.</w:t>
      </w:r>
      <w:r w:rsidR="00AE4528">
        <w:rPr>
          <w:sz w:val="22"/>
          <w:lang w:val="en-GB" w:bidi="en-US"/>
        </w:rPr>
        <w:t xml:space="preserve"> </w:t>
      </w:r>
      <w:r w:rsidR="00E0223A">
        <w:rPr>
          <w:sz w:val="22"/>
          <w:lang w:val="en-GB" w:bidi="en-US"/>
        </w:rPr>
        <w:t>c</w:t>
      </w:r>
      <w:r w:rsidR="00AE4528">
        <w:rPr>
          <w:sz w:val="22"/>
          <w:lang w:val="en-GB" w:bidi="en-US"/>
        </w:rPr>
        <w:t xml:space="preserve">) </w:t>
      </w:r>
      <w:r w:rsidR="00AE4528" w:rsidRPr="00AE4528">
        <w:rPr>
          <w:sz w:val="22"/>
          <w:lang w:val="en-US" w:bidi="en-US"/>
        </w:rPr>
        <w:t xml:space="preserve">Leškovskis, K.; </w:t>
      </w:r>
      <w:proofErr w:type="spellStart"/>
      <w:r w:rsidR="00AE4528" w:rsidRPr="00AE4528">
        <w:rPr>
          <w:sz w:val="22"/>
          <w:lang w:val="en-US" w:bidi="en-US"/>
        </w:rPr>
        <w:t>Mishnev</w:t>
      </w:r>
      <w:proofErr w:type="spellEnd"/>
      <w:r w:rsidR="00AE4528" w:rsidRPr="00AE4528">
        <w:rPr>
          <w:sz w:val="22"/>
          <w:lang w:val="en-US" w:bidi="en-US"/>
        </w:rPr>
        <w:t xml:space="preserve">, A.; </w:t>
      </w:r>
      <w:proofErr w:type="spellStart"/>
      <w:r w:rsidR="00AE4528" w:rsidRPr="00AE4528">
        <w:rPr>
          <w:sz w:val="22"/>
          <w:lang w:val="en-US" w:bidi="en-US"/>
        </w:rPr>
        <w:t>Novosjolova</w:t>
      </w:r>
      <w:proofErr w:type="spellEnd"/>
      <w:r w:rsidR="00AE4528" w:rsidRPr="00AE4528">
        <w:rPr>
          <w:sz w:val="22"/>
          <w:lang w:val="en-US" w:bidi="en-US"/>
        </w:rPr>
        <w:t xml:space="preserve">, I.; Turks, M. </w:t>
      </w:r>
      <w:r w:rsidR="00AE4528" w:rsidRPr="00AE4528">
        <w:rPr>
          <w:i/>
          <w:iCs/>
          <w:sz w:val="22"/>
          <w:lang w:val="en-US" w:bidi="en-US"/>
        </w:rPr>
        <w:t>J. Mol. Struct.</w:t>
      </w:r>
      <w:r w:rsidR="00AE4528" w:rsidRPr="00AE4528">
        <w:rPr>
          <w:sz w:val="22"/>
          <w:lang w:val="en-US" w:bidi="en-US"/>
        </w:rPr>
        <w:t xml:space="preserve"> </w:t>
      </w:r>
      <w:r w:rsidR="00AE4528" w:rsidRPr="00AE4528">
        <w:rPr>
          <w:b/>
          <w:bCs/>
          <w:sz w:val="22"/>
          <w:lang w:val="en-US" w:bidi="en-US"/>
        </w:rPr>
        <w:t>2022</w:t>
      </w:r>
      <w:r w:rsidR="00AE4528" w:rsidRPr="00AE4528">
        <w:rPr>
          <w:sz w:val="22"/>
          <w:lang w:val="en-US" w:bidi="en-US"/>
        </w:rPr>
        <w:t xml:space="preserve">, </w:t>
      </w:r>
      <w:r w:rsidR="00AE4528" w:rsidRPr="00AE4528">
        <w:rPr>
          <w:i/>
          <w:iCs/>
          <w:sz w:val="22"/>
          <w:lang w:val="en-US" w:bidi="en-US"/>
        </w:rPr>
        <w:t>1269</w:t>
      </w:r>
      <w:r w:rsidR="00AE4528" w:rsidRPr="00AE4528">
        <w:rPr>
          <w:sz w:val="22"/>
          <w:lang w:val="en-US" w:bidi="en-US"/>
        </w:rPr>
        <w:t>, 133784</w:t>
      </w:r>
      <w:r w:rsidR="00AE4528">
        <w:rPr>
          <w:sz w:val="22"/>
          <w:lang w:val="en-US" w:bidi="en-US"/>
        </w:rPr>
        <w:t xml:space="preserve">. </w:t>
      </w:r>
      <w:r w:rsidR="00E0223A">
        <w:rPr>
          <w:sz w:val="22"/>
          <w:lang w:val="en-US" w:bidi="en-US"/>
        </w:rPr>
        <w:t>d</w:t>
      </w:r>
      <w:r w:rsidR="00AE4528">
        <w:rPr>
          <w:sz w:val="22"/>
          <w:lang w:val="en-US" w:bidi="en-US"/>
        </w:rPr>
        <w:t xml:space="preserve">) </w:t>
      </w:r>
      <w:proofErr w:type="spellStart"/>
      <w:r w:rsidR="00D60D89" w:rsidRPr="00D60D89">
        <w:rPr>
          <w:sz w:val="22"/>
          <w:lang w:val="en-US" w:bidi="en-US"/>
        </w:rPr>
        <w:t>Cmoch</w:t>
      </w:r>
      <w:proofErr w:type="spellEnd"/>
      <w:r w:rsidR="00D60D89" w:rsidRPr="00D60D89">
        <w:rPr>
          <w:sz w:val="22"/>
          <w:lang w:val="en-US" w:bidi="en-US"/>
        </w:rPr>
        <w:t xml:space="preserve">, P.; </w:t>
      </w:r>
      <w:proofErr w:type="spellStart"/>
      <w:r w:rsidR="00D60D89" w:rsidRPr="00D60D89">
        <w:rPr>
          <w:sz w:val="22"/>
          <w:lang w:val="en-US" w:bidi="en-US"/>
        </w:rPr>
        <w:t>Korczak</w:t>
      </w:r>
      <w:proofErr w:type="spellEnd"/>
      <w:r w:rsidR="00D60D89" w:rsidRPr="00D60D89">
        <w:rPr>
          <w:sz w:val="22"/>
          <w:lang w:val="en-US" w:bidi="en-US"/>
        </w:rPr>
        <w:t xml:space="preserve">, H.; </w:t>
      </w:r>
      <w:proofErr w:type="spellStart"/>
      <w:r w:rsidR="00D60D89" w:rsidRPr="00D60D89">
        <w:rPr>
          <w:sz w:val="22"/>
          <w:lang w:val="en-US" w:bidi="en-US"/>
        </w:rPr>
        <w:t>Stefaniak</w:t>
      </w:r>
      <w:proofErr w:type="spellEnd"/>
      <w:r w:rsidR="00D60D89" w:rsidRPr="00D60D89">
        <w:rPr>
          <w:sz w:val="22"/>
          <w:lang w:val="en-US" w:bidi="en-US"/>
        </w:rPr>
        <w:t xml:space="preserve">, L.; Webb, G.A. </w:t>
      </w:r>
      <w:r w:rsidR="00D60D89" w:rsidRPr="00D60D89">
        <w:rPr>
          <w:i/>
          <w:iCs/>
          <w:sz w:val="22"/>
          <w:lang w:val="en-US" w:bidi="en-US"/>
        </w:rPr>
        <w:t>J. Phys. Org. Chem.</w:t>
      </w:r>
      <w:r w:rsidR="00D60D89" w:rsidRPr="00D60D89">
        <w:rPr>
          <w:sz w:val="22"/>
          <w:lang w:val="en-US" w:bidi="en-US"/>
        </w:rPr>
        <w:t xml:space="preserve"> </w:t>
      </w:r>
      <w:r w:rsidR="00D60D89" w:rsidRPr="00D60D89">
        <w:rPr>
          <w:b/>
          <w:bCs/>
          <w:sz w:val="22"/>
          <w:lang w:val="en-US" w:bidi="en-US"/>
        </w:rPr>
        <w:t>1999</w:t>
      </w:r>
      <w:r w:rsidR="00D60D89" w:rsidRPr="00D60D89">
        <w:rPr>
          <w:sz w:val="22"/>
          <w:lang w:val="en-US" w:bidi="en-US"/>
        </w:rPr>
        <w:t xml:space="preserve">, </w:t>
      </w:r>
      <w:r w:rsidR="00D60D89" w:rsidRPr="00D60D89">
        <w:rPr>
          <w:i/>
          <w:iCs/>
          <w:sz w:val="22"/>
          <w:lang w:val="en-US" w:bidi="en-US"/>
        </w:rPr>
        <w:t>12</w:t>
      </w:r>
      <w:r w:rsidR="00D60D89" w:rsidRPr="00D60D89">
        <w:rPr>
          <w:sz w:val="22"/>
          <w:lang w:val="en-US" w:bidi="en-US"/>
        </w:rPr>
        <w:t>, 470–478.</w:t>
      </w:r>
      <w:r w:rsidR="00D60D89">
        <w:rPr>
          <w:sz w:val="22"/>
          <w:lang w:val="en-US" w:bidi="en-US"/>
        </w:rPr>
        <w:t xml:space="preserve"> e) </w:t>
      </w:r>
      <w:r w:rsidR="0040785B" w:rsidRPr="0040785B">
        <w:rPr>
          <w:sz w:val="22"/>
          <w:lang w:val="en-US" w:bidi="en-US"/>
        </w:rPr>
        <w:t xml:space="preserve">Thomann, A.; </w:t>
      </w:r>
      <w:proofErr w:type="spellStart"/>
      <w:r w:rsidR="0040785B" w:rsidRPr="0040785B">
        <w:rPr>
          <w:sz w:val="22"/>
          <w:lang w:val="en-US" w:bidi="en-US"/>
        </w:rPr>
        <w:t>Zapp</w:t>
      </w:r>
      <w:proofErr w:type="spellEnd"/>
      <w:r w:rsidR="0040785B" w:rsidRPr="0040785B">
        <w:rPr>
          <w:sz w:val="22"/>
          <w:lang w:val="en-US" w:bidi="en-US"/>
        </w:rPr>
        <w:t xml:space="preserve">, J.; </w:t>
      </w:r>
      <w:proofErr w:type="spellStart"/>
      <w:r w:rsidR="0040785B" w:rsidRPr="0040785B">
        <w:rPr>
          <w:sz w:val="22"/>
          <w:lang w:val="en-US" w:bidi="en-US"/>
        </w:rPr>
        <w:t>Hutter</w:t>
      </w:r>
      <w:proofErr w:type="spellEnd"/>
      <w:r w:rsidR="0040785B" w:rsidRPr="0040785B">
        <w:rPr>
          <w:sz w:val="22"/>
          <w:lang w:val="en-US" w:bidi="en-US"/>
        </w:rPr>
        <w:t xml:space="preserve">, M.; </w:t>
      </w:r>
      <w:proofErr w:type="spellStart"/>
      <w:r w:rsidR="0040785B" w:rsidRPr="0040785B">
        <w:rPr>
          <w:sz w:val="22"/>
          <w:lang w:val="en-US" w:bidi="en-US"/>
        </w:rPr>
        <w:t>Empting</w:t>
      </w:r>
      <w:proofErr w:type="spellEnd"/>
      <w:r w:rsidR="0040785B" w:rsidRPr="0040785B">
        <w:rPr>
          <w:sz w:val="22"/>
          <w:lang w:val="en-US" w:bidi="en-US"/>
        </w:rPr>
        <w:t>, M.; Hartmann, R.W.</w:t>
      </w:r>
      <w:r w:rsidR="0040785B">
        <w:rPr>
          <w:sz w:val="22"/>
          <w:lang w:val="en-US" w:bidi="en-US"/>
        </w:rPr>
        <w:t xml:space="preserve"> </w:t>
      </w:r>
      <w:r w:rsidR="0040785B" w:rsidRPr="0040785B">
        <w:rPr>
          <w:i/>
          <w:iCs/>
          <w:sz w:val="22"/>
          <w:lang w:val="en-US" w:bidi="en-US"/>
        </w:rPr>
        <w:t xml:space="preserve">Org. </w:t>
      </w:r>
      <w:proofErr w:type="spellStart"/>
      <w:r w:rsidR="0040785B" w:rsidRPr="0040785B">
        <w:rPr>
          <w:i/>
          <w:iCs/>
          <w:sz w:val="22"/>
          <w:lang w:val="en-US" w:bidi="en-US"/>
        </w:rPr>
        <w:t>Biomol</w:t>
      </w:r>
      <w:proofErr w:type="spellEnd"/>
      <w:r w:rsidR="0040785B" w:rsidRPr="0040785B">
        <w:rPr>
          <w:i/>
          <w:iCs/>
          <w:sz w:val="22"/>
          <w:lang w:val="en-US" w:bidi="en-US"/>
        </w:rPr>
        <w:t>. Chem.</w:t>
      </w:r>
      <w:r w:rsidR="0040785B" w:rsidRPr="0040785B">
        <w:rPr>
          <w:sz w:val="22"/>
          <w:lang w:val="en-US" w:bidi="en-US"/>
        </w:rPr>
        <w:t xml:space="preserve"> </w:t>
      </w:r>
      <w:r w:rsidR="0040785B" w:rsidRPr="0040785B">
        <w:rPr>
          <w:b/>
          <w:bCs/>
          <w:sz w:val="22"/>
          <w:lang w:val="en-US" w:bidi="en-US"/>
        </w:rPr>
        <w:t>2015</w:t>
      </w:r>
      <w:r w:rsidR="0040785B" w:rsidRPr="0040785B">
        <w:rPr>
          <w:sz w:val="22"/>
          <w:lang w:val="en-US" w:bidi="en-US"/>
        </w:rPr>
        <w:t xml:space="preserve">, </w:t>
      </w:r>
      <w:r w:rsidR="0040785B" w:rsidRPr="0040785B">
        <w:rPr>
          <w:i/>
          <w:iCs/>
          <w:sz w:val="22"/>
          <w:lang w:val="en-US" w:bidi="en-US"/>
        </w:rPr>
        <w:t>13</w:t>
      </w:r>
      <w:r w:rsidR="0040785B" w:rsidRPr="0040785B">
        <w:rPr>
          <w:sz w:val="22"/>
          <w:lang w:val="en-US" w:bidi="en-US"/>
        </w:rPr>
        <w:t>, 10620–10630.</w:t>
      </w:r>
    </w:p>
    <w:p w14:paraId="373B24C0" w14:textId="51E3FDB5" w:rsidR="009423A7" w:rsidRDefault="0069178C" w:rsidP="00AC3447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[2] </w:t>
      </w:r>
      <w:proofErr w:type="spellStart"/>
      <w:r w:rsidRPr="0069178C">
        <w:rPr>
          <w:sz w:val="22"/>
          <w:lang w:val="en-US"/>
        </w:rPr>
        <w:t>Bräse</w:t>
      </w:r>
      <w:proofErr w:type="spellEnd"/>
      <w:r w:rsidRPr="0069178C">
        <w:rPr>
          <w:sz w:val="22"/>
          <w:lang w:val="en-US"/>
        </w:rPr>
        <w:t xml:space="preserve"> Stefan, K.B. </w:t>
      </w:r>
      <w:r w:rsidRPr="0069178C">
        <w:rPr>
          <w:i/>
          <w:iCs/>
          <w:sz w:val="22"/>
          <w:lang w:val="en-US"/>
        </w:rPr>
        <w:t xml:space="preserve">Organic </w:t>
      </w:r>
      <w:proofErr w:type="spellStart"/>
      <w:r w:rsidRPr="0069178C">
        <w:rPr>
          <w:i/>
          <w:iCs/>
          <w:sz w:val="22"/>
          <w:lang w:val="en-US"/>
        </w:rPr>
        <w:t>Azides</w:t>
      </w:r>
      <w:proofErr w:type="spellEnd"/>
      <w:r w:rsidRPr="0069178C">
        <w:rPr>
          <w:i/>
          <w:iCs/>
          <w:sz w:val="22"/>
          <w:lang w:val="en-US"/>
        </w:rPr>
        <w:t>: Syntheses and Applications</w:t>
      </w:r>
      <w:r w:rsidRPr="0069178C">
        <w:rPr>
          <w:sz w:val="22"/>
          <w:lang w:val="en-US"/>
        </w:rPr>
        <w:t xml:space="preserve">; </w:t>
      </w:r>
      <w:proofErr w:type="spellStart"/>
      <w:r w:rsidRPr="0069178C">
        <w:rPr>
          <w:sz w:val="22"/>
          <w:lang w:val="en-US"/>
        </w:rPr>
        <w:t>B</w:t>
      </w:r>
      <w:r w:rsidR="00A509D9" w:rsidRPr="0069178C">
        <w:rPr>
          <w:sz w:val="22"/>
          <w:lang w:val="en-US"/>
        </w:rPr>
        <w:t>ä</w:t>
      </w:r>
      <w:r w:rsidRPr="0069178C">
        <w:rPr>
          <w:sz w:val="22"/>
          <w:lang w:val="en-US"/>
        </w:rPr>
        <w:t>rse</w:t>
      </w:r>
      <w:proofErr w:type="spellEnd"/>
      <w:r w:rsidRPr="0069178C">
        <w:rPr>
          <w:sz w:val="22"/>
          <w:lang w:val="en-US"/>
        </w:rPr>
        <w:t xml:space="preserve">, S., </w:t>
      </w:r>
      <w:proofErr w:type="spellStart"/>
      <w:r w:rsidRPr="0069178C">
        <w:rPr>
          <w:sz w:val="22"/>
          <w:lang w:val="en-US"/>
        </w:rPr>
        <w:t>Banert</w:t>
      </w:r>
      <w:proofErr w:type="spellEnd"/>
      <w:r w:rsidRPr="0069178C">
        <w:rPr>
          <w:sz w:val="22"/>
          <w:lang w:val="en-US"/>
        </w:rPr>
        <w:t xml:space="preserve">, K., Eds.; John Wiley &amp; Sons, Ltd.: Chichester, UK, </w:t>
      </w:r>
      <w:r w:rsidRPr="0069178C">
        <w:rPr>
          <w:b/>
          <w:bCs/>
          <w:sz w:val="22"/>
          <w:lang w:val="en-US"/>
        </w:rPr>
        <w:t>2009</w:t>
      </w:r>
      <w:r w:rsidRPr="0069178C">
        <w:rPr>
          <w:sz w:val="22"/>
          <w:lang w:val="en-US"/>
        </w:rPr>
        <w:t>, ISBN 9780470682517</w:t>
      </w:r>
      <w:r>
        <w:rPr>
          <w:sz w:val="22"/>
          <w:lang w:val="en-US"/>
        </w:rPr>
        <w:t>.</w:t>
      </w:r>
    </w:p>
    <w:p w14:paraId="08B16823" w14:textId="19A3FFF3" w:rsidR="003A168E" w:rsidRPr="00AC3447" w:rsidRDefault="00867F63" w:rsidP="00AC3447">
      <w:pPr>
        <w:jc w:val="both"/>
        <w:rPr>
          <w:sz w:val="22"/>
          <w:lang w:val="en-GB"/>
        </w:rPr>
      </w:pPr>
      <w:r w:rsidRPr="009B79DA">
        <w:rPr>
          <w:sz w:val="22"/>
          <w:lang w:val="en-GB"/>
        </w:rPr>
        <w:t>[</w:t>
      </w:r>
      <w:r w:rsidR="00580025">
        <w:rPr>
          <w:sz w:val="22"/>
          <w:lang w:val="en-GB"/>
        </w:rPr>
        <w:t>3</w:t>
      </w:r>
      <w:r w:rsidRPr="009B79DA">
        <w:rPr>
          <w:sz w:val="22"/>
          <w:lang w:val="en-GB"/>
        </w:rPr>
        <w:t xml:space="preserve">] </w:t>
      </w:r>
      <w:r w:rsidR="009423A7" w:rsidRPr="009423A7">
        <w:rPr>
          <w:sz w:val="22"/>
        </w:rPr>
        <w:t xml:space="preserve">Leškovskis, K.; </w:t>
      </w:r>
      <w:proofErr w:type="spellStart"/>
      <w:r w:rsidR="009423A7" w:rsidRPr="009423A7">
        <w:rPr>
          <w:sz w:val="22"/>
        </w:rPr>
        <w:t>Mishnev</w:t>
      </w:r>
      <w:proofErr w:type="spellEnd"/>
      <w:r w:rsidR="009423A7" w:rsidRPr="009423A7">
        <w:rPr>
          <w:sz w:val="22"/>
        </w:rPr>
        <w:t xml:space="preserve">, A.; </w:t>
      </w:r>
      <w:proofErr w:type="spellStart"/>
      <w:r w:rsidR="009423A7" w:rsidRPr="009423A7">
        <w:rPr>
          <w:sz w:val="22"/>
        </w:rPr>
        <w:t>Novosjolova</w:t>
      </w:r>
      <w:proofErr w:type="spellEnd"/>
      <w:r w:rsidR="009423A7" w:rsidRPr="009423A7">
        <w:rPr>
          <w:sz w:val="22"/>
        </w:rPr>
        <w:t xml:space="preserve">, I.; Turks, M. </w:t>
      </w:r>
      <w:r w:rsidR="009423A7" w:rsidRPr="009423A7">
        <w:rPr>
          <w:i/>
          <w:iCs/>
          <w:sz w:val="22"/>
        </w:rPr>
        <w:t>Molecules</w:t>
      </w:r>
      <w:r w:rsidR="009423A7" w:rsidRPr="009423A7">
        <w:rPr>
          <w:sz w:val="22"/>
        </w:rPr>
        <w:t xml:space="preserve"> </w:t>
      </w:r>
      <w:r w:rsidR="009423A7" w:rsidRPr="009423A7">
        <w:rPr>
          <w:b/>
          <w:bCs/>
          <w:sz w:val="22"/>
        </w:rPr>
        <w:t>2022</w:t>
      </w:r>
      <w:r w:rsidR="009423A7" w:rsidRPr="009423A7">
        <w:rPr>
          <w:sz w:val="22"/>
        </w:rPr>
        <w:t xml:space="preserve">, </w:t>
      </w:r>
      <w:r w:rsidR="009423A7" w:rsidRPr="009423A7">
        <w:rPr>
          <w:i/>
          <w:iCs/>
          <w:sz w:val="22"/>
        </w:rPr>
        <w:t>27</w:t>
      </w:r>
      <w:r w:rsidR="009423A7" w:rsidRPr="009423A7">
        <w:rPr>
          <w:sz w:val="22"/>
        </w:rPr>
        <w:t>, 7675.</w:t>
      </w:r>
    </w:p>
    <w:sectPr w:rsidR="003A168E" w:rsidRPr="00AC3447" w:rsidSect="001E40FF">
      <w:headerReference w:type="default" r:id="rId10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17DD" w14:textId="77777777" w:rsidR="00093611" w:rsidRDefault="00093611">
      <w:r>
        <w:separator/>
      </w:r>
    </w:p>
  </w:endnote>
  <w:endnote w:type="continuationSeparator" w:id="0">
    <w:p w14:paraId="0BBB9287" w14:textId="77777777" w:rsidR="00093611" w:rsidRDefault="0009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2F2F" w14:textId="77777777" w:rsidR="00093611" w:rsidRDefault="00093611">
      <w:r>
        <w:separator/>
      </w:r>
    </w:p>
  </w:footnote>
  <w:footnote w:type="continuationSeparator" w:id="0">
    <w:p w14:paraId="5C4CCC89" w14:textId="77777777" w:rsidR="00093611" w:rsidRDefault="0009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D029" w14:textId="77777777"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85E"/>
    <w:multiLevelType w:val="hybridMultilevel"/>
    <w:tmpl w:val="4E020EE0"/>
    <w:lvl w:ilvl="0" w:tplc="0D282F32">
      <w:start w:val="1"/>
      <w:numFmt w:val="decimal"/>
      <w:lvlText w:val="%1."/>
      <w:lvlJc w:val="left"/>
      <w:pPr>
        <w:ind w:left="425" w:hanging="425"/>
      </w:pPr>
      <w:rPr>
        <w:b w:val="0"/>
        <w:i w:val="0"/>
        <w:sz w:val="18"/>
        <w:szCs w:val="1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0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D9"/>
    <w:rsid w:val="00001DB6"/>
    <w:rsid w:val="0002638B"/>
    <w:rsid w:val="00041374"/>
    <w:rsid w:val="00044693"/>
    <w:rsid w:val="00057792"/>
    <w:rsid w:val="000700A6"/>
    <w:rsid w:val="0007533A"/>
    <w:rsid w:val="00084237"/>
    <w:rsid w:val="00093611"/>
    <w:rsid w:val="00097128"/>
    <w:rsid w:val="000F14B3"/>
    <w:rsid w:val="00111675"/>
    <w:rsid w:val="001234FC"/>
    <w:rsid w:val="00124B83"/>
    <w:rsid w:val="00136802"/>
    <w:rsid w:val="00161E0E"/>
    <w:rsid w:val="00172AEB"/>
    <w:rsid w:val="001A31E6"/>
    <w:rsid w:val="001C31D0"/>
    <w:rsid w:val="001E40FF"/>
    <w:rsid w:val="0022275C"/>
    <w:rsid w:val="00237692"/>
    <w:rsid w:val="0024076E"/>
    <w:rsid w:val="00251F84"/>
    <w:rsid w:val="0026404A"/>
    <w:rsid w:val="00266231"/>
    <w:rsid w:val="002A30CB"/>
    <w:rsid w:val="002B496E"/>
    <w:rsid w:val="002F212E"/>
    <w:rsid w:val="00305DAC"/>
    <w:rsid w:val="00320911"/>
    <w:rsid w:val="00323466"/>
    <w:rsid w:val="00336C3F"/>
    <w:rsid w:val="00377934"/>
    <w:rsid w:val="00380471"/>
    <w:rsid w:val="003A168E"/>
    <w:rsid w:val="003C7AA6"/>
    <w:rsid w:val="0040785B"/>
    <w:rsid w:val="00435F97"/>
    <w:rsid w:val="00494DD0"/>
    <w:rsid w:val="004B6FDF"/>
    <w:rsid w:val="004C0253"/>
    <w:rsid w:val="004D541F"/>
    <w:rsid w:val="00532DEE"/>
    <w:rsid w:val="00580025"/>
    <w:rsid w:val="005A3541"/>
    <w:rsid w:val="005B1A48"/>
    <w:rsid w:val="005F261B"/>
    <w:rsid w:val="005F2ACF"/>
    <w:rsid w:val="00601B79"/>
    <w:rsid w:val="006029CF"/>
    <w:rsid w:val="00634284"/>
    <w:rsid w:val="0065606C"/>
    <w:rsid w:val="00667D3D"/>
    <w:rsid w:val="0067735C"/>
    <w:rsid w:val="00681223"/>
    <w:rsid w:val="00685934"/>
    <w:rsid w:val="0069178C"/>
    <w:rsid w:val="006A2AA3"/>
    <w:rsid w:val="006B0A16"/>
    <w:rsid w:val="006D364D"/>
    <w:rsid w:val="006E14C2"/>
    <w:rsid w:val="006E796A"/>
    <w:rsid w:val="00781E2A"/>
    <w:rsid w:val="007B1A27"/>
    <w:rsid w:val="007D2B35"/>
    <w:rsid w:val="007E7CFB"/>
    <w:rsid w:val="007F5086"/>
    <w:rsid w:val="00810A75"/>
    <w:rsid w:val="0082699A"/>
    <w:rsid w:val="00867F63"/>
    <w:rsid w:val="00884FAD"/>
    <w:rsid w:val="00890EEF"/>
    <w:rsid w:val="008D1541"/>
    <w:rsid w:val="008E3A98"/>
    <w:rsid w:val="00906726"/>
    <w:rsid w:val="00912897"/>
    <w:rsid w:val="009235DB"/>
    <w:rsid w:val="009256B6"/>
    <w:rsid w:val="009423A7"/>
    <w:rsid w:val="00954165"/>
    <w:rsid w:val="0096110F"/>
    <w:rsid w:val="0096484A"/>
    <w:rsid w:val="009A1094"/>
    <w:rsid w:val="009B79DA"/>
    <w:rsid w:val="009C2ABB"/>
    <w:rsid w:val="009D332A"/>
    <w:rsid w:val="009E33AA"/>
    <w:rsid w:val="009F71E0"/>
    <w:rsid w:val="00A026F9"/>
    <w:rsid w:val="00A1355F"/>
    <w:rsid w:val="00A34384"/>
    <w:rsid w:val="00A509D9"/>
    <w:rsid w:val="00AA28F1"/>
    <w:rsid w:val="00AA7228"/>
    <w:rsid w:val="00AC3447"/>
    <w:rsid w:val="00AE4528"/>
    <w:rsid w:val="00AE46EE"/>
    <w:rsid w:val="00B147E9"/>
    <w:rsid w:val="00B30EFA"/>
    <w:rsid w:val="00B41071"/>
    <w:rsid w:val="00B97E9C"/>
    <w:rsid w:val="00BD1858"/>
    <w:rsid w:val="00C13929"/>
    <w:rsid w:val="00C223B4"/>
    <w:rsid w:val="00C4612D"/>
    <w:rsid w:val="00C63CAD"/>
    <w:rsid w:val="00C8016C"/>
    <w:rsid w:val="00C82CB0"/>
    <w:rsid w:val="00C93E7D"/>
    <w:rsid w:val="00C979CC"/>
    <w:rsid w:val="00CA2EB7"/>
    <w:rsid w:val="00D26259"/>
    <w:rsid w:val="00D60D89"/>
    <w:rsid w:val="00D96BAC"/>
    <w:rsid w:val="00DF6739"/>
    <w:rsid w:val="00E0223A"/>
    <w:rsid w:val="00E025A2"/>
    <w:rsid w:val="00E03244"/>
    <w:rsid w:val="00E10EE2"/>
    <w:rsid w:val="00E21EE9"/>
    <w:rsid w:val="00E22686"/>
    <w:rsid w:val="00E33727"/>
    <w:rsid w:val="00E65883"/>
    <w:rsid w:val="00F27B08"/>
    <w:rsid w:val="00F41530"/>
    <w:rsid w:val="00F62ED3"/>
    <w:rsid w:val="00FB562C"/>
    <w:rsid w:val="00FD54D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73EA3D4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ristaps.leskovskis@rt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Kristaps Leškovskis</cp:lastModifiedBy>
  <cp:revision>45</cp:revision>
  <cp:lastPrinted>2005-09-13T19:03:00Z</cp:lastPrinted>
  <dcterms:created xsi:type="dcterms:W3CDTF">2020-11-26T13:18:00Z</dcterms:created>
  <dcterms:modified xsi:type="dcterms:W3CDTF">2023-03-03T16:49:00Z</dcterms:modified>
</cp:coreProperties>
</file>