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464" w:rsidRDefault="00784139" w:rsidP="00327464">
      <w:pPr>
        <w:pStyle w:val="Title"/>
        <w:spacing w:before="240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 xml:space="preserve">SYNTHESIS OF </w:t>
      </w:r>
      <w:r w:rsidR="00327464">
        <w:rPr>
          <w:b/>
          <w:sz w:val="24"/>
          <w:szCs w:val="24"/>
          <w:lang w:val="en-GB"/>
        </w:rPr>
        <w:t>QUINAZOLINES AND INDAZOLES FROM</w:t>
      </w:r>
    </w:p>
    <w:p w:rsidR="009B79DA" w:rsidRDefault="00784139" w:rsidP="00327464">
      <w:pPr>
        <w:pStyle w:val="Title"/>
        <w:spacing w:after="240"/>
        <w:rPr>
          <w:b/>
          <w:sz w:val="24"/>
          <w:szCs w:val="24"/>
          <w:lang w:val="en-GB"/>
        </w:rPr>
      </w:pPr>
      <w:r w:rsidRPr="00784139">
        <w:rPr>
          <w:b/>
          <w:sz w:val="24"/>
          <w:szCs w:val="24"/>
          <w:lang w:val="en-GB"/>
        </w:rPr>
        <w:t>2-FORMYLPHENYLBORONIC ACIDS</w:t>
      </w:r>
    </w:p>
    <w:p w:rsidR="009E33AA" w:rsidRPr="00906726" w:rsidRDefault="00784139" w:rsidP="00237692">
      <w:p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Vitalii Solomin</w:t>
      </w:r>
      <w:r w:rsidR="003A168E" w:rsidRPr="003A168E">
        <w:rPr>
          <w:b/>
          <w:sz w:val="24"/>
          <w:szCs w:val="24"/>
          <w:vertAlign w:val="superscript"/>
          <w:lang w:val="en-GB"/>
        </w:rPr>
        <w:t>1</w:t>
      </w:r>
      <w:r>
        <w:rPr>
          <w:b/>
          <w:sz w:val="24"/>
          <w:szCs w:val="24"/>
          <w:vertAlign w:val="superscript"/>
          <w:lang w:val="en-GB"/>
        </w:rPr>
        <w:t>,2</w:t>
      </w:r>
      <w:r w:rsidR="00F27B08" w:rsidRPr="00906726">
        <w:rPr>
          <w:b/>
          <w:sz w:val="24"/>
          <w:szCs w:val="24"/>
          <w:lang w:val="en-GB"/>
        </w:rPr>
        <w:t xml:space="preserve">, </w:t>
      </w:r>
      <w:proofErr w:type="spellStart"/>
      <w:r>
        <w:rPr>
          <w:b/>
          <w:sz w:val="24"/>
          <w:szCs w:val="24"/>
          <w:lang w:val="en-GB"/>
        </w:rPr>
        <w:t>Darija</w:t>
      </w:r>
      <w:proofErr w:type="spellEnd"/>
      <w:r>
        <w:rPr>
          <w:b/>
          <w:sz w:val="24"/>
          <w:szCs w:val="24"/>
          <w:lang w:val="en-GB"/>
        </w:rPr>
        <w:t xml:space="preserve"> Zaharova</w:t>
      </w:r>
      <w:r w:rsidR="003A168E" w:rsidRPr="003A168E">
        <w:rPr>
          <w:b/>
          <w:sz w:val="24"/>
          <w:szCs w:val="24"/>
          <w:vertAlign w:val="superscript"/>
          <w:lang w:val="en-GB"/>
        </w:rPr>
        <w:t>2</w:t>
      </w:r>
      <w:r>
        <w:rPr>
          <w:b/>
          <w:sz w:val="24"/>
          <w:szCs w:val="24"/>
          <w:vertAlign w:val="superscript"/>
          <w:lang w:val="en-GB"/>
        </w:rPr>
        <w:t>,3</w:t>
      </w:r>
    </w:p>
    <w:p w:rsidR="009E33AA" w:rsidRDefault="003A168E" w:rsidP="00867F63">
      <w:pPr>
        <w:pStyle w:val="Footer"/>
        <w:spacing w:before="120"/>
        <w:rPr>
          <w:i/>
          <w:szCs w:val="22"/>
          <w:lang w:val="en-GB"/>
        </w:rPr>
      </w:pPr>
      <w:r w:rsidRPr="003A168E">
        <w:rPr>
          <w:i/>
          <w:szCs w:val="22"/>
          <w:vertAlign w:val="superscript"/>
          <w:lang w:val="en-GB"/>
        </w:rPr>
        <w:t>1</w:t>
      </w:r>
      <w:r w:rsidR="005B6A2C">
        <w:rPr>
          <w:i/>
          <w:szCs w:val="22"/>
          <w:lang w:val="en-GB"/>
        </w:rPr>
        <w:t>Riga Technical University</w:t>
      </w:r>
      <w:r w:rsidR="00C223B4" w:rsidRPr="00906726">
        <w:rPr>
          <w:i/>
          <w:szCs w:val="22"/>
          <w:lang w:val="en-GB"/>
        </w:rPr>
        <w:t>,</w:t>
      </w:r>
      <w:r w:rsidR="005B6A2C">
        <w:rPr>
          <w:i/>
          <w:szCs w:val="22"/>
          <w:lang w:val="en-GB"/>
        </w:rPr>
        <w:t xml:space="preserve"> Paula </w:t>
      </w:r>
      <w:proofErr w:type="spellStart"/>
      <w:r w:rsidR="005B6A2C">
        <w:rPr>
          <w:i/>
          <w:szCs w:val="22"/>
          <w:lang w:val="en-GB"/>
        </w:rPr>
        <w:t>Valdena</w:t>
      </w:r>
      <w:proofErr w:type="spellEnd"/>
      <w:r w:rsidR="005B6A2C">
        <w:rPr>
          <w:i/>
          <w:szCs w:val="22"/>
          <w:lang w:val="en-GB"/>
        </w:rPr>
        <w:t xml:space="preserve"> </w:t>
      </w:r>
      <w:proofErr w:type="spellStart"/>
      <w:r w:rsidR="005B6A2C">
        <w:rPr>
          <w:i/>
          <w:szCs w:val="22"/>
          <w:lang w:val="en-GB"/>
        </w:rPr>
        <w:t>iela</w:t>
      </w:r>
      <w:proofErr w:type="spellEnd"/>
      <w:r w:rsidR="005B6A2C" w:rsidRPr="005B6A2C">
        <w:rPr>
          <w:i/>
          <w:szCs w:val="22"/>
          <w:lang w:val="en-GB"/>
        </w:rPr>
        <w:t xml:space="preserve"> 3,</w:t>
      </w:r>
      <w:r w:rsidR="00C223B4" w:rsidRPr="00906726">
        <w:rPr>
          <w:i/>
          <w:szCs w:val="22"/>
          <w:lang w:val="en-GB"/>
        </w:rPr>
        <w:t xml:space="preserve"> R</w:t>
      </w:r>
      <w:r w:rsidR="00912897" w:rsidRPr="00906726">
        <w:rPr>
          <w:i/>
          <w:szCs w:val="22"/>
          <w:lang w:val="en-GB"/>
        </w:rPr>
        <w:t>i</w:t>
      </w:r>
      <w:r w:rsidR="00C223B4" w:rsidRPr="00906726">
        <w:rPr>
          <w:i/>
          <w:szCs w:val="22"/>
          <w:lang w:val="en-GB"/>
        </w:rPr>
        <w:t xml:space="preserve">ga, </w:t>
      </w:r>
      <w:r w:rsidR="00912897" w:rsidRPr="00906726">
        <w:rPr>
          <w:i/>
          <w:szCs w:val="22"/>
          <w:lang w:val="en-GB"/>
        </w:rPr>
        <w:t>Latvia</w:t>
      </w:r>
    </w:p>
    <w:p w:rsidR="005B6A2C" w:rsidRDefault="005B6A2C" w:rsidP="003A168E">
      <w:pPr>
        <w:pStyle w:val="Footer"/>
        <w:rPr>
          <w:i/>
          <w:szCs w:val="22"/>
          <w:lang w:val="en-GB"/>
        </w:rPr>
      </w:pPr>
      <w:r>
        <w:rPr>
          <w:i/>
          <w:szCs w:val="22"/>
          <w:vertAlign w:val="superscript"/>
          <w:lang w:val="en-GB"/>
        </w:rPr>
        <w:t>2</w:t>
      </w:r>
      <w:r>
        <w:rPr>
          <w:i/>
          <w:szCs w:val="22"/>
          <w:lang w:val="en-GB"/>
        </w:rPr>
        <w:t xml:space="preserve">Latvian Institute of Organic Synthesis, </w:t>
      </w:r>
      <w:proofErr w:type="spellStart"/>
      <w:r>
        <w:rPr>
          <w:i/>
          <w:szCs w:val="22"/>
          <w:lang w:val="en-GB"/>
        </w:rPr>
        <w:t>Aizkraukles</w:t>
      </w:r>
      <w:proofErr w:type="spellEnd"/>
      <w:r>
        <w:rPr>
          <w:i/>
          <w:szCs w:val="22"/>
          <w:lang w:val="en-GB"/>
        </w:rPr>
        <w:t xml:space="preserve"> </w:t>
      </w:r>
      <w:proofErr w:type="spellStart"/>
      <w:r>
        <w:rPr>
          <w:i/>
          <w:szCs w:val="22"/>
          <w:lang w:val="en-GB"/>
        </w:rPr>
        <w:t>iela</w:t>
      </w:r>
      <w:proofErr w:type="spellEnd"/>
      <w:r>
        <w:rPr>
          <w:i/>
          <w:szCs w:val="22"/>
          <w:lang w:val="en-GB"/>
        </w:rPr>
        <w:t xml:space="preserve"> 21, Riga, Latvia</w:t>
      </w:r>
    </w:p>
    <w:p w:rsidR="005B6A2C" w:rsidRPr="005B6A2C" w:rsidRDefault="005B6A2C" w:rsidP="005B6A2C">
      <w:pPr>
        <w:pStyle w:val="Footer"/>
        <w:rPr>
          <w:i/>
          <w:szCs w:val="22"/>
          <w:lang w:val="en-GB"/>
        </w:rPr>
      </w:pPr>
      <w:r>
        <w:rPr>
          <w:i/>
          <w:szCs w:val="22"/>
          <w:vertAlign w:val="superscript"/>
          <w:lang w:val="en-GB"/>
        </w:rPr>
        <w:t>3</w:t>
      </w:r>
      <w:r w:rsidRPr="005B6A2C">
        <w:rPr>
          <w:i/>
          <w:szCs w:val="22"/>
          <w:lang w:val="en-GB"/>
        </w:rPr>
        <w:t xml:space="preserve">University of Latvia, Faculty of Chemistry, </w:t>
      </w:r>
      <w:proofErr w:type="spellStart"/>
      <w:r w:rsidRPr="005B6A2C">
        <w:rPr>
          <w:i/>
          <w:szCs w:val="22"/>
          <w:lang w:val="en-GB"/>
        </w:rPr>
        <w:t>Jelgavas</w:t>
      </w:r>
      <w:proofErr w:type="spellEnd"/>
      <w:r w:rsidRPr="005B6A2C">
        <w:rPr>
          <w:i/>
          <w:szCs w:val="22"/>
          <w:lang w:val="en-GB"/>
        </w:rPr>
        <w:t xml:space="preserve"> </w:t>
      </w:r>
      <w:proofErr w:type="spellStart"/>
      <w:r w:rsidRPr="005B6A2C">
        <w:rPr>
          <w:i/>
          <w:szCs w:val="22"/>
          <w:lang w:val="en-GB"/>
        </w:rPr>
        <w:t>iela</w:t>
      </w:r>
      <w:proofErr w:type="spellEnd"/>
      <w:r w:rsidRPr="005B6A2C">
        <w:rPr>
          <w:i/>
          <w:szCs w:val="22"/>
          <w:lang w:val="en-GB"/>
        </w:rPr>
        <w:t xml:space="preserve"> 1, Riga, Latvia</w:t>
      </w:r>
    </w:p>
    <w:p w:rsidR="005B6A2C" w:rsidRDefault="005B6A2C" w:rsidP="003A168E">
      <w:pPr>
        <w:pStyle w:val="Footer"/>
        <w:rPr>
          <w:i/>
          <w:szCs w:val="22"/>
          <w:lang w:val="en-GB"/>
        </w:rPr>
      </w:pPr>
    </w:p>
    <w:p w:rsidR="009E33AA" w:rsidRPr="00A34384" w:rsidRDefault="00320911" w:rsidP="005B1A48">
      <w:pPr>
        <w:pStyle w:val="Footer"/>
        <w:spacing w:after="360"/>
        <w:rPr>
          <w:sz w:val="24"/>
          <w:lang w:val="it-IT"/>
        </w:rPr>
      </w:pPr>
      <w:r w:rsidRPr="00906726">
        <w:rPr>
          <w:i/>
          <w:snapToGrid w:val="0"/>
          <w:szCs w:val="22"/>
          <w:lang w:val="it-IT"/>
        </w:rPr>
        <w:t>e-</w:t>
      </w:r>
      <w:r w:rsidR="00912897" w:rsidRPr="00906726">
        <w:rPr>
          <w:i/>
          <w:snapToGrid w:val="0"/>
          <w:szCs w:val="22"/>
          <w:lang w:val="it-IT"/>
        </w:rPr>
        <w:t>mail</w:t>
      </w:r>
      <w:r w:rsidR="00C7215B">
        <w:rPr>
          <w:i/>
          <w:snapToGrid w:val="0"/>
          <w:szCs w:val="22"/>
          <w:lang w:val="it-IT"/>
        </w:rPr>
        <w:t>: vitalijs.solomins@osi.lv</w:t>
      </w:r>
    </w:p>
    <w:p w:rsidR="007454CA" w:rsidRPr="007454CA" w:rsidRDefault="007454CA" w:rsidP="007454CA">
      <w:pPr>
        <w:autoSpaceDE w:val="0"/>
        <w:autoSpaceDN w:val="0"/>
        <w:adjustRightInd w:val="0"/>
        <w:ind w:firstLine="567"/>
        <w:jc w:val="both"/>
        <w:rPr>
          <w:sz w:val="24"/>
          <w:lang w:val="en-GB"/>
        </w:rPr>
      </w:pPr>
      <w:r w:rsidRPr="007454CA">
        <w:rPr>
          <w:sz w:val="24"/>
          <w:lang w:val="en-GB"/>
        </w:rPr>
        <w:t xml:space="preserve">New </w:t>
      </w:r>
      <w:r>
        <w:rPr>
          <w:sz w:val="24"/>
          <w:lang w:val="en-GB"/>
        </w:rPr>
        <w:t xml:space="preserve">mild </w:t>
      </w:r>
      <w:r w:rsidRPr="007454CA">
        <w:rPr>
          <w:sz w:val="24"/>
          <w:lang w:val="en-GB"/>
        </w:rPr>
        <w:t>methods for the s</w:t>
      </w:r>
      <w:r>
        <w:rPr>
          <w:sz w:val="24"/>
          <w:lang w:val="en-GB"/>
        </w:rPr>
        <w:t xml:space="preserve">ynthesis of </w:t>
      </w:r>
      <w:proofErr w:type="spellStart"/>
      <w:r>
        <w:rPr>
          <w:sz w:val="24"/>
          <w:lang w:val="en-GB"/>
        </w:rPr>
        <w:t>indazole</w:t>
      </w:r>
      <w:proofErr w:type="spellEnd"/>
      <w:r>
        <w:rPr>
          <w:sz w:val="24"/>
          <w:lang w:val="en-GB"/>
        </w:rPr>
        <w:t xml:space="preserve"> and </w:t>
      </w:r>
      <w:proofErr w:type="spellStart"/>
      <w:r w:rsidRPr="007454CA">
        <w:rPr>
          <w:sz w:val="24"/>
          <w:lang w:val="en-GB"/>
        </w:rPr>
        <w:t>quinazoline</w:t>
      </w:r>
      <w:proofErr w:type="spellEnd"/>
      <w:r w:rsidRPr="007454CA">
        <w:rPr>
          <w:sz w:val="24"/>
          <w:lang w:val="en-GB"/>
        </w:rPr>
        <w:t xml:space="preserve"> has been studied and devel</w:t>
      </w:r>
      <w:r>
        <w:rPr>
          <w:sz w:val="24"/>
          <w:lang w:val="en-GB"/>
        </w:rPr>
        <w:t>oped. Using novel protocols</w:t>
      </w:r>
      <w:r w:rsidR="00327464">
        <w:rPr>
          <w:sz w:val="24"/>
          <w:lang w:val="en-GB"/>
        </w:rPr>
        <w:t xml:space="preserve">, 2-formylphenylboronic acids </w:t>
      </w:r>
      <w:r w:rsidRPr="00327464">
        <w:rPr>
          <w:b/>
          <w:sz w:val="24"/>
          <w:lang w:val="en-GB"/>
        </w:rPr>
        <w:t>1</w:t>
      </w:r>
      <w:r>
        <w:rPr>
          <w:sz w:val="24"/>
          <w:lang w:val="en-GB"/>
        </w:rPr>
        <w:t xml:space="preserve"> can be converted to the </w:t>
      </w:r>
      <w:r w:rsidRPr="007454CA">
        <w:rPr>
          <w:sz w:val="24"/>
          <w:lang w:val="en-GB"/>
        </w:rPr>
        <w:t xml:space="preserve">heterocycles </w:t>
      </w:r>
      <w:r>
        <w:rPr>
          <w:sz w:val="24"/>
          <w:lang w:val="en-GB"/>
        </w:rPr>
        <w:t xml:space="preserve">of interest in a good </w:t>
      </w:r>
      <w:r w:rsidR="00B67C68">
        <w:rPr>
          <w:sz w:val="24"/>
          <w:lang w:val="en-GB"/>
        </w:rPr>
        <w:t>yield</w:t>
      </w:r>
      <w:r w:rsidRPr="007454CA">
        <w:rPr>
          <w:sz w:val="24"/>
          <w:lang w:val="en-GB"/>
        </w:rPr>
        <w:t>.</w:t>
      </w:r>
    </w:p>
    <w:p w:rsidR="007454CA" w:rsidRPr="007454CA" w:rsidRDefault="007454CA" w:rsidP="007454CA">
      <w:pPr>
        <w:autoSpaceDE w:val="0"/>
        <w:autoSpaceDN w:val="0"/>
        <w:adjustRightInd w:val="0"/>
        <w:ind w:firstLine="567"/>
        <w:jc w:val="both"/>
        <w:rPr>
          <w:sz w:val="24"/>
          <w:lang w:val="en-GB"/>
        </w:rPr>
      </w:pPr>
      <w:r>
        <w:rPr>
          <w:sz w:val="24"/>
          <w:lang w:val="en-GB"/>
        </w:rPr>
        <w:t xml:space="preserve">For </w:t>
      </w:r>
      <w:proofErr w:type="spellStart"/>
      <w:r w:rsidRPr="007454CA">
        <w:rPr>
          <w:sz w:val="24"/>
          <w:lang w:val="en-GB"/>
        </w:rPr>
        <w:t>quinazoline</w:t>
      </w:r>
      <w:proofErr w:type="spellEnd"/>
      <w:r w:rsidRPr="007454CA">
        <w:rPr>
          <w:sz w:val="24"/>
          <w:lang w:val="en-GB"/>
        </w:rPr>
        <w:t xml:space="preserve"> </w:t>
      </w:r>
      <w:r w:rsidR="00327464" w:rsidRPr="00327464">
        <w:rPr>
          <w:b/>
          <w:sz w:val="24"/>
          <w:lang w:val="en-GB"/>
        </w:rPr>
        <w:t>3</w:t>
      </w:r>
      <w:r w:rsidR="00327464">
        <w:rPr>
          <w:b/>
          <w:sz w:val="24"/>
          <w:lang w:val="en-GB"/>
        </w:rPr>
        <w:t xml:space="preserve"> </w:t>
      </w:r>
      <w:r w:rsidRPr="007454CA">
        <w:rPr>
          <w:sz w:val="24"/>
          <w:lang w:val="en-GB"/>
        </w:rPr>
        <w:t>synt</w:t>
      </w:r>
      <w:r w:rsidR="00327464">
        <w:rPr>
          <w:sz w:val="24"/>
          <w:lang w:val="en-GB"/>
        </w:rPr>
        <w:t>hesis</w:t>
      </w:r>
      <w:r>
        <w:rPr>
          <w:sz w:val="24"/>
          <w:lang w:val="en-GB"/>
        </w:rPr>
        <w:t>,</w:t>
      </w:r>
      <w:r w:rsidR="00327464">
        <w:rPr>
          <w:sz w:val="24"/>
          <w:lang w:val="en-GB"/>
        </w:rPr>
        <w:t xml:space="preserve"> </w:t>
      </w:r>
      <w:proofErr w:type="spellStart"/>
      <w:r w:rsidR="00327464">
        <w:rPr>
          <w:sz w:val="24"/>
          <w:lang w:val="en-GB"/>
        </w:rPr>
        <w:t>guanidines</w:t>
      </w:r>
      <w:proofErr w:type="spellEnd"/>
      <w:r w:rsidR="00327464">
        <w:rPr>
          <w:sz w:val="24"/>
          <w:lang w:val="en-GB"/>
        </w:rPr>
        <w:t xml:space="preserve"> and </w:t>
      </w:r>
      <w:proofErr w:type="spellStart"/>
      <w:r w:rsidR="00327464">
        <w:rPr>
          <w:sz w:val="24"/>
          <w:lang w:val="en-GB"/>
        </w:rPr>
        <w:t>amidines</w:t>
      </w:r>
      <w:proofErr w:type="spellEnd"/>
      <w:r w:rsidR="00327464">
        <w:rPr>
          <w:sz w:val="24"/>
          <w:lang w:val="en-GB"/>
        </w:rPr>
        <w:t xml:space="preserve"> </w:t>
      </w:r>
      <w:r w:rsidR="00327464" w:rsidRPr="00327464">
        <w:rPr>
          <w:b/>
          <w:sz w:val="24"/>
          <w:lang w:val="en-GB"/>
        </w:rPr>
        <w:t>2</w:t>
      </w:r>
      <w:r>
        <w:rPr>
          <w:sz w:val="24"/>
          <w:lang w:val="en-GB"/>
        </w:rPr>
        <w:t xml:space="preserve"> can be</w:t>
      </w:r>
      <w:r w:rsidRPr="007454CA">
        <w:rPr>
          <w:sz w:val="24"/>
          <w:lang w:val="en-GB"/>
        </w:rPr>
        <w:t xml:space="preserve"> used</w:t>
      </w:r>
      <w:r w:rsidR="00C56CC4">
        <w:rPr>
          <w:sz w:val="24"/>
          <w:lang w:val="en-GB"/>
        </w:rPr>
        <w:t xml:space="preserve"> </w:t>
      </w:r>
      <w:r w:rsidR="00C56CC4">
        <w:rPr>
          <w:sz w:val="24"/>
          <w:lang w:val="en-GB"/>
        </w:rPr>
        <w:t>[1]</w:t>
      </w:r>
      <w:r w:rsidRPr="007454CA">
        <w:rPr>
          <w:sz w:val="24"/>
          <w:lang w:val="en-GB"/>
        </w:rPr>
        <w:t>. Reaction proceeds in alcoholic media with</w:t>
      </w:r>
      <w:r w:rsidR="00327464">
        <w:rPr>
          <w:sz w:val="24"/>
          <w:lang w:val="en-GB"/>
        </w:rPr>
        <w:t xml:space="preserve"> Cu</w:t>
      </w:r>
      <w:r w:rsidRPr="007454CA">
        <w:rPr>
          <w:sz w:val="24"/>
          <w:lang w:val="en-GB"/>
        </w:rPr>
        <w:t>(I) iodide as a catalyst (Chan-Evans-Lam reaction</w:t>
      </w:r>
      <w:r w:rsidR="00F726E0">
        <w:rPr>
          <w:sz w:val="24"/>
          <w:lang w:val="en-GB"/>
        </w:rPr>
        <w:t xml:space="preserve"> </w:t>
      </w:r>
      <w:r w:rsidR="000659A5">
        <w:rPr>
          <w:sz w:val="24"/>
          <w:lang w:val="en-GB"/>
        </w:rPr>
        <w:t>conditions</w:t>
      </w:r>
      <w:r w:rsidR="00C56CC4">
        <w:rPr>
          <w:sz w:val="24"/>
          <w:lang w:val="en-GB"/>
        </w:rPr>
        <w:t xml:space="preserve"> </w:t>
      </w:r>
      <w:r w:rsidR="00C56CC4">
        <w:rPr>
          <w:sz w:val="24"/>
          <w:lang w:val="en-GB"/>
        </w:rPr>
        <w:t>[2]</w:t>
      </w:r>
      <w:r w:rsidRPr="007454CA">
        <w:rPr>
          <w:sz w:val="24"/>
          <w:lang w:val="en-GB"/>
        </w:rPr>
        <w:t>).</w:t>
      </w:r>
    </w:p>
    <w:p w:rsidR="007454CA" w:rsidRDefault="007454CA" w:rsidP="007454CA">
      <w:pPr>
        <w:autoSpaceDE w:val="0"/>
        <w:autoSpaceDN w:val="0"/>
        <w:adjustRightInd w:val="0"/>
        <w:ind w:firstLine="567"/>
        <w:jc w:val="both"/>
        <w:rPr>
          <w:sz w:val="24"/>
          <w:lang w:val="en-GB"/>
        </w:rPr>
      </w:pPr>
      <w:r w:rsidRPr="007454CA">
        <w:rPr>
          <w:sz w:val="24"/>
          <w:lang w:val="en-GB"/>
        </w:rPr>
        <w:t>Wi</w:t>
      </w:r>
      <w:r w:rsidR="00327464">
        <w:rPr>
          <w:sz w:val="24"/>
          <w:lang w:val="en-GB"/>
        </w:rPr>
        <w:t xml:space="preserve">th </w:t>
      </w:r>
      <w:proofErr w:type="spellStart"/>
      <w:r w:rsidR="00327464">
        <w:rPr>
          <w:sz w:val="24"/>
          <w:lang w:val="en-GB"/>
        </w:rPr>
        <w:t>dialkyl</w:t>
      </w:r>
      <w:proofErr w:type="spellEnd"/>
      <w:r w:rsidR="00327464">
        <w:rPr>
          <w:sz w:val="24"/>
          <w:lang w:val="en-GB"/>
        </w:rPr>
        <w:t xml:space="preserve"> </w:t>
      </w:r>
      <w:proofErr w:type="spellStart"/>
      <w:r w:rsidR="00327464">
        <w:rPr>
          <w:sz w:val="24"/>
          <w:lang w:val="en-GB"/>
        </w:rPr>
        <w:t>azodicarboxylates</w:t>
      </w:r>
      <w:proofErr w:type="spellEnd"/>
      <w:r w:rsidR="00327464">
        <w:rPr>
          <w:sz w:val="24"/>
          <w:lang w:val="en-GB"/>
        </w:rPr>
        <w:t xml:space="preserve"> </w:t>
      </w:r>
      <w:r w:rsidR="00327464" w:rsidRPr="00327464">
        <w:rPr>
          <w:b/>
          <w:sz w:val="24"/>
          <w:lang w:val="en-GB"/>
        </w:rPr>
        <w:t>4</w:t>
      </w:r>
      <w:r w:rsidRPr="007454CA">
        <w:rPr>
          <w:sz w:val="24"/>
          <w:lang w:val="en-GB"/>
        </w:rPr>
        <w:t xml:space="preserve"> and </w:t>
      </w:r>
      <w:proofErr w:type="spellStart"/>
      <w:r w:rsidRPr="007454CA">
        <w:rPr>
          <w:sz w:val="24"/>
          <w:lang w:val="en-GB"/>
        </w:rPr>
        <w:t>d</w:t>
      </w:r>
      <w:r w:rsidR="00327464">
        <w:rPr>
          <w:sz w:val="24"/>
          <w:lang w:val="en-GB"/>
        </w:rPr>
        <w:t>ialkyl</w:t>
      </w:r>
      <w:proofErr w:type="spellEnd"/>
      <w:r w:rsidR="00327464">
        <w:rPr>
          <w:sz w:val="24"/>
          <w:lang w:val="en-GB"/>
        </w:rPr>
        <w:t xml:space="preserve"> </w:t>
      </w:r>
      <w:proofErr w:type="spellStart"/>
      <w:r w:rsidR="00327464">
        <w:rPr>
          <w:sz w:val="24"/>
          <w:lang w:val="en-GB"/>
        </w:rPr>
        <w:t>hydrazinedicarboxylates</w:t>
      </w:r>
      <w:proofErr w:type="spellEnd"/>
      <w:r w:rsidR="00327464">
        <w:rPr>
          <w:sz w:val="24"/>
          <w:lang w:val="en-GB"/>
        </w:rPr>
        <w:t xml:space="preserve"> </w:t>
      </w:r>
      <w:r w:rsidR="00327464" w:rsidRPr="00327464">
        <w:rPr>
          <w:b/>
          <w:sz w:val="24"/>
          <w:lang w:val="en-GB"/>
        </w:rPr>
        <w:t>5</w:t>
      </w:r>
      <w:r w:rsidRPr="007454CA">
        <w:rPr>
          <w:sz w:val="24"/>
          <w:lang w:val="en-GB"/>
        </w:rPr>
        <w:t xml:space="preserve"> </w:t>
      </w:r>
      <w:r w:rsidRPr="00327464">
        <w:rPr>
          <w:i/>
          <w:sz w:val="24"/>
          <w:lang w:val="en-GB"/>
        </w:rPr>
        <w:t>N</w:t>
      </w:r>
      <w:r w:rsidRPr="007454CA">
        <w:rPr>
          <w:sz w:val="24"/>
          <w:lang w:val="en-GB"/>
        </w:rPr>
        <w:t>-protect</w:t>
      </w:r>
      <w:r w:rsidR="00327464">
        <w:rPr>
          <w:sz w:val="24"/>
          <w:lang w:val="en-GB"/>
        </w:rPr>
        <w:t xml:space="preserve">ed </w:t>
      </w:r>
      <w:proofErr w:type="spellStart"/>
      <w:r w:rsidR="00327464">
        <w:rPr>
          <w:sz w:val="24"/>
          <w:lang w:val="en-GB"/>
        </w:rPr>
        <w:t>indazoles</w:t>
      </w:r>
      <w:proofErr w:type="spellEnd"/>
      <w:r w:rsidR="00327464">
        <w:rPr>
          <w:sz w:val="24"/>
          <w:lang w:val="en-GB"/>
        </w:rPr>
        <w:t xml:space="preserve"> </w:t>
      </w:r>
      <w:r w:rsidR="00327464" w:rsidRPr="00327464">
        <w:rPr>
          <w:b/>
          <w:sz w:val="24"/>
          <w:lang w:val="en-GB"/>
        </w:rPr>
        <w:t>6</w:t>
      </w:r>
      <w:r w:rsidR="008867EE">
        <w:rPr>
          <w:sz w:val="24"/>
          <w:lang w:val="en-GB"/>
        </w:rPr>
        <w:t xml:space="preserve"> can be synthesized</w:t>
      </w:r>
      <w:r w:rsidR="00F726E0">
        <w:rPr>
          <w:sz w:val="24"/>
          <w:lang w:val="en-GB"/>
        </w:rPr>
        <w:t xml:space="preserve"> [3]</w:t>
      </w:r>
      <w:r w:rsidRPr="007454CA">
        <w:rPr>
          <w:sz w:val="24"/>
          <w:lang w:val="en-GB"/>
        </w:rPr>
        <w:t xml:space="preserve">. </w:t>
      </w:r>
      <w:r w:rsidR="008867EE">
        <w:rPr>
          <w:sz w:val="24"/>
          <w:lang w:val="en-GB"/>
        </w:rPr>
        <w:t>Two-step protocol involves coupling</w:t>
      </w:r>
      <w:r w:rsidR="00327464">
        <w:rPr>
          <w:sz w:val="24"/>
          <w:lang w:val="en-GB"/>
        </w:rPr>
        <w:t>, mediated by Cu</w:t>
      </w:r>
      <w:r w:rsidRPr="007454CA">
        <w:rPr>
          <w:sz w:val="24"/>
          <w:lang w:val="en-GB"/>
        </w:rPr>
        <w:t xml:space="preserve">(II) acetate, with subsequent one-pot conversion of formed semi-product to </w:t>
      </w:r>
      <w:proofErr w:type="spellStart"/>
      <w:r w:rsidRPr="007454CA">
        <w:rPr>
          <w:sz w:val="24"/>
          <w:lang w:val="en-GB"/>
        </w:rPr>
        <w:t>indazole</w:t>
      </w:r>
      <w:proofErr w:type="spellEnd"/>
      <w:r w:rsidRPr="007454CA">
        <w:rPr>
          <w:sz w:val="24"/>
          <w:lang w:val="en-GB"/>
        </w:rPr>
        <w:t xml:space="preserve"> in acidic media.</w:t>
      </w:r>
    </w:p>
    <w:bookmarkStart w:id="0" w:name="_GoBack"/>
    <w:p w:rsidR="009F2C7B" w:rsidRPr="009B79DA" w:rsidRDefault="003245B3" w:rsidP="00F726E0">
      <w:pPr>
        <w:autoSpaceDE w:val="0"/>
        <w:autoSpaceDN w:val="0"/>
        <w:adjustRightInd w:val="0"/>
        <w:jc w:val="center"/>
        <w:rPr>
          <w:sz w:val="24"/>
          <w:lang w:val="en-GB"/>
        </w:rPr>
      </w:pPr>
      <w:r w:rsidRPr="0053163A">
        <w:rPr>
          <w:noProof/>
          <w:lang w:val="da-DK"/>
        </w:rPr>
        <w:object w:dxaOrig="8222" w:dyaOrig="49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2" type="#_x0000_t75" style="width:324.75pt;height:195.75pt" o:ole="">
            <v:imagedata r:id="rId6" o:title=""/>
          </v:shape>
          <o:OLEObject Type="Embed" ProgID="ChemDraw.Document.6.0" ShapeID="_x0000_i1052" DrawAspect="Content" ObjectID="_1739361156" r:id="rId7"/>
        </w:object>
      </w:r>
      <w:bookmarkEnd w:id="0"/>
    </w:p>
    <w:p w:rsidR="0067735C" w:rsidRPr="00906726" w:rsidRDefault="00AC3447" w:rsidP="00377934">
      <w:pPr>
        <w:autoSpaceDE w:val="0"/>
        <w:autoSpaceDN w:val="0"/>
        <w:adjustRightInd w:val="0"/>
        <w:spacing w:before="120"/>
        <w:jc w:val="center"/>
        <w:rPr>
          <w:sz w:val="22"/>
          <w:szCs w:val="22"/>
          <w:lang w:val="en-GB"/>
        </w:rPr>
      </w:pPr>
      <w:r w:rsidRPr="00906726">
        <w:rPr>
          <w:b/>
          <w:sz w:val="22"/>
          <w:szCs w:val="22"/>
          <w:lang w:val="en-GB"/>
        </w:rPr>
        <w:t>Fig.</w:t>
      </w:r>
      <w:r w:rsidR="001E40FF" w:rsidRPr="00906726">
        <w:rPr>
          <w:b/>
          <w:sz w:val="22"/>
          <w:szCs w:val="22"/>
          <w:lang w:val="en-GB"/>
        </w:rPr>
        <w:t xml:space="preserve"> 1. </w:t>
      </w:r>
      <w:r w:rsidRPr="00906726">
        <w:rPr>
          <w:sz w:val="22"/>
          <w:szCs w:val="22"/>
          <w:lang w:val="en-GB"/>
        </w:rPr>
        <w:t xml:space="preserve"> </w:t>
      </w:r>
      <w:r w:rsidR="009F2C7B">
        <w:rPr>
          <w:sz w:val="22"/>
          <w:szCs w:val="22"/>
          <w:lang w:val="en-GB"/>
        </w:rPr>
        <w:t xml:space="preserve">Synthesis of </w:t>
      </w:r>
      <w:proofErr w:type="spellStart"/>
      <w:r w:rsidR="009F2C7B">
        <w:rPr>
          <w:sz w:val="22"/>
          <w:szCs w:val="22"/>
          <w:lang w:val="en-GB"/>
        </w:rPr>
        <w:t>quinazolines</w:t>
      </w:r>
      <w:proofErr w:type="spellEnd"/>
      <w:r w:rsidR="009F2C7B">
        <w:rPr>
          <w:sz w:val="22"/>
          <w:szCs w:val="22"/>
          <w:lang w:val="en-GB"/>
        </w:rPr>
        <w:t xml:space="preserve"> and </w:t>
      </w:r>
      <w:r w:rsidR="009F2C7B" w:rsidRPr="00327464">
        <w:rPr>
          <w:i/>
          <w:sz w:val="22"/>
          <w:szCs w:val="22"/>
          <w:lang w:val="en-GB"/>
        </w:rPr>
        <w:t>N</w:t>
      </w:r>
      <w:r w:rsidR="009F2C7B">
        <w:rPr>
          <w:sz w:val="22"/>
          <w:szCs w:val="22"/>
          <w:lang w:val="en-GB"/>
        </w:rPr>
        <w:t xml:space="preserve">-protected </w:t>
      </w:r>
      <w:proofErr w:type="spellStart"/>
      <w:r w:rsidR="009F2C7B">
        <w:rPr>
          <w:sz w:val="22"/>
          <w:szCs w:val="22"/>
          <w:lang w:val="en-GB"/>
        </w:rPr>
        <w:t>indazoles</w:t>
      </w:r>
      <w:proofErr w:type="spellEnd"/>
      <w:r w:rsidR="009F2C7B">
        <w:rPr>
          <w:sz w:val="22"/>
          <w:szCs w:val="22"/>
          <w:lang w:val="en-GB"/>
        </w:rPr>
        <w:t>.</w:t>
      </w:r>
    </w:p>
    <w:p w:rsidR="00946AA9" w:rsidRPr="00E06F6E" w:rsidRDefault="00946AA9" w:rsidP="0067735C">
      <w:pPr>
        <w:autoSpaceDE w:val="0"/>
        <w:autoSpaceDN w:val="0"/>
        <w:adjustRightInd w:val="0"/>
        <w:spacing w:before="120"/>
        <w:ind w:firstLine="567"/>
        <w:jc w:val="both"/>
        <w:rPr>
          <w:sz w:val="24"/>
          <w:szCs w:val="22"/>
          <w:lang w:val="en-GB"/>
        </w:rPr>
      </w:pPr>
      <w:r w:rsidRPr="00E06F6E">
        <w:rPr>
          <w:sz w:val="24"/>
          <w:szCs w:val="22"/>
          <w:lang w:val="en-GB"/>
        </w:rPr>
        <w:t xml:space="preserve">Present approach </w:t>
      </w:r>
      <w:r w:rsidR="002B1E67" w:rsidRPr="00E06F6E">
        <w:rPr>
          <w:sz w:val="24"/>
          <w:szCs w:val="22"/>
          <w:lang w:val="en-GB"/>
        </w:rPr>
        <w:t>suggests</w:t>
      </w:r>
      <w:r w:rsidRPr="00E06F6E">
        <w:rPr>
          <w:sz w:val="24"/>
          <w:szCs w:val="22"/>
          <w:lang w:val="en-GB"/>
        </w:rPr>
        <w:t xml:space="preserve"> 2-formylphenylboronic acids as a multi-purpose building blocks for a convenient access towards fused nitrogen-containing heterocycles.</w:t>
      </w:r>
    </w:p>
    <w:p w:rsidR="00F41530" w:rsidRPr="009B79DA" w:rsidRDefault="00F41530" w:rsidP="00867F63">
      <w:pPr>
        <w:pStyle w:val="BodyTextIndent"/>
        <w:spacing w:after="120"/>
        <w:ind w:firstLine="0"/>
        <w:rPr>
          <w:sz w:val="22"/>
          <w:lang w:val="en-GB"/>
        </w:rPr>
      </w:pPr>
    </w:p>
    <w:p w:rsidR="009E33AA" w:rsidRPr="009B79DA" w:rsidRDefault="00E21EE9" w:rsidP="00867F63">
      <w:pPr>
        <w:pStyle w:val="BodyTextIndent"/>
        <w:spacing w:after="120"/>
        <w:ind w:firstLine="0"/>
        <w:rPr>
          <w:b/>
          <w:i/>
          <w:sz w:val="22"/>
          <w:lang w:val="en-GB"/>
        </w:rPr>
      </w:pPr>
      <w:r w:rsidRPr="009B79DA">
        <w:rPr>
          <w:b/>
          <w:i/>
          <w:sz w:val="22"/>
          <w:lang w:val="en-GB"/>
        </w:rPr>
        <w:t>References</w:t>
      </w:r>
      <w:r w:rsidR="00320911" w:rsidRPr="009B79DA">
        <w:rPr>
          <w:b/>
          <w:i/>
          <w:sz w:val="22"/>
          <w:lang w:val="en-GB"/>
        </w:rPr>
        <w:t>:</w:t>
      </w:r>
    </w:p>
    <w:p w:rsidR="00F726E0" w:rsidRDefault="00F726E0" w:rsidP="00F726E0">
      <w:pPr>
        <w:jc w:val="both"/>
        <w:rPr>
          <w:sz w:val="22"/>
          <w:lang w:val="en-GB"/>
        </w:rPr>
      </w:pPr>
      <w:r>
        <w:rPr>
          <w:sz w:val="22"/>
          <w:lang w:val="en-GB"/>
        </w:rPr>
        <w:t xml:space="preserve">[1] </w:t>
      </w:r>
      <w:proofErr w:type="spellStart"/>
      <w:r w:rsidRPr="00F726E0">
        <w:rPr>
          <w:sz w:val="22"/>
          <w:lang w:val="en-GB"/>
        </w:rPr>
        <w:t>Solomin</w:t>
      </w:r>
      <w:proofErr w:type="spellEnd"/>
      <w:r w:rsidRPr="00F726E0">
        <w:rPr>
          <w:sz w:val="22"/>
          <w:lang w:val="en-GB"/>
        </w:rPr>
        <w:t xml:space="preserve">, V. V.; Seins, A.; </w:t>
      </w:r>
      <w:proofErr w:type="spellStart"/>
      <w:r w:rsidRPr="00F726E0">
        <w:rPr>
          <w:sz w:val="22"/>
          <w:lang w:val="en-GB"/>
        </w:rPr>
        <w:t>Jirgensons</w:t>
      </w:r>
      <w:proofErr w:type="spellEnd"/>
      <w:r w:rsidRPr="00F726E0">
        <w:rPr>
          <w:sz w:val="22"/>
          <w:lang w:val="en-GB"/>
        </w:rPr>
        <w:t xml:space="preserve">, A. </w:t>
      </w:r>
      <w:proofErr w:type="spellStart"/>
      <w:r w:rsidRPr="00F726E0">
        <w:rPr>
          <w:i/>
          <w:sz w:val="22"/>
          <w:lang w:val="en-GB"/>
        </w:rPr>
        <w:t>Synlett</w:t>
      </w:r>
      <w:proofErr w:type="spellEnd"/>
      <w:r w:rsidRPr="00F726E0">
        <w:rPr>
          <w:sz w:val="22"/>
          <w:lang w:val="en-GB"/>
        </w:rPr>
        <w:t xml:space="preserve"> </w:t>
      </w:r>
      <w:r w:rsidRPr="00F726E0">
        <w:rPr>
          <w:b/>
          <w:sz w:val="22"/>
          <w:lang w:val="en-GB"/>
        </w:rPr>
        <w:t>2020</w:t>
      </w:r>
      <w:r w:rsidRPr="00F726E0">
        <w:rPr>
          <w:sz w:val="22"/>
          <w:lang w:val="en-GB"/>
        </w:rPr>
        <w:t xml:space="preserve">, </w:t>
      </w:r>
      <w:r w:rsidRPr="00F726E0">
        <w:rPr>
          <w:i/>
          <w:sz w:val="22"/>
          <w:lang w:val="en-GB"/>
        </w:rPr>
        <w:t>31</w:t>
      </w:r>
      <w:r w:rsidRPr="00F726E0">
        <w:rPr>
          <w:sz w:val="22"/>
          <w:lang w:val="en-GB"/>
        </w:rPr>
        <w:t>, 1507.</w:t>
      </w:r>
    </w:p>
    <w:p w:rsidR="00F726E0" w:rsidRDefault="00F726E0" w:rsidP="00F726E0">
      <w:pPr>
        <w:jc w:val="both"/>
        <w:rPr>
          <w:sz w:val="22"/>
          <w:lang w:val="en-GB"/>
        </w:rPr>
      </w:pPr>
      <w:r>
        <w:rPr>
          <w:sz w:val="22"/>
          <w:lang w:val="en-GB"/>
        </w:rPr>
        <w:t>[2</w:t>
      </w:r>
      <w:r w:rsidRPr="009B79DA">
        <w:rPr>
          <w:sz w:val="22"/>
          <w:lang w:val="en-GB"/>
        </w:rPr>
        <w:t xml:space="preserve">] </w:t>
      </w:r>
      <w:r w:rsidRPr="002C41E4">
        <w:rPr>
          <w:sz w:val="22"/>
          <w:lang w:val="en-GB"/>
        </w:rPr>
        <w:t xml:space="preserve">Chan, D. M. T.; Monaco, K. L.; Wang, R.-P.; Winters, M. P. </w:t>
      </w:r>
      <w:r w:rsidRPr="002C41E4">
        <w:rPr>
          <w:i/>
          <w:sz w:val="22"/>
          <w:lang w:val="en-GB"/>
        </w:rPr>
        <w:t>Tetrahedron Letters</w:t>
      </w:r>
      <w:r w:rsidRPr="002C41E4">
        <w:rPr>
          <w:sz w:val="22"/>
          <w:lang w:val="en-GB"/>
        </w:rPr>
        <w:t xml:space="preserve"> </w:t>
      </w:r>
      <w:r w:rsidRPr="002C41E4">
        <w:rPr>
          <w:b/>
          <w:sz w:val="22"/>
          <w:lang w:val="en-GB"/>
        </w:rPr>
        <w:t>1998</w:t>
      </w:r>
      <w:r w:rsidRPr="002C41E4">
        <w:rPr>
          <w:sz w:val="22"/>
          <w:lang w:val="en-GB"/>
        </w:rPr>
        <w:t xml:space="preserve">, </w:t>
      </w:r>
      <w:r w:rsidRPr="002C41E4">
        <w:rPr>
          <w:i/>
          <w:sz w:val="22"/>
          <w:lang w:val="en-GB"/>
        </w:rPr>
        <w:t>39</w:t>
      </w:r>
      <w:r w:rsidRPr="002C41E4">
        <w:rPr>
          <w:sz w:val="22"/>
          <w:lang w:val="en-GB"/>
        </w:rPr>
        <w:t>, 2933.</w:t>
      </w:r>
    </w:p>
    <w:p w:rsidR="00F726E0" w:rsidRPr="00F726E0" w:rsidRDefault="00F726E0" w:rsidP="00F726E0">
      <w:pPr>
        <w:jc w:val="both"/>
        <w:rPr>
          <w:sz w:val="22"/>
          <w:lang w:val="en-GB"/>
        </w:rPr>
      </w:pPr>
      <w:r>
        <w:rPr>
          <w:sz w:val="22"/>
          <w:lang w:val="en-GB"/>
        </w:rPr>
        <w:t xml:space="preserve">[3] </w:t>
      </w:r>
      <w:proofErr w:type="spellStart"/>
      <w:r w:rsidRPr="00F726E0">
        <w:rPr>
          <w:sz w:val="22"/>
          <w:lang w:val="en-GB"/>
        </w:rPr>
        <w:t>Solomin</w:t>
      </w:r>
      <w:proofErr w:type="spellEnd"/>
      <w:r w:rsidRPr="00F726E0">
        <w:rPr>
          <w:sz w:val="22"/>
          <w:lang w:val="en-GB"/>
        </w:rPr>
        <w:t xml:space="preserve">, V. V.; Seins, A.; </w:t>
      </w:r>
      <w:proofErr w:type="spellStart"/>
      <w:r w:rsidRPr="00F726E0">
        <w:rPr>
          <w:sz w:val="22"/>
          <w:lang w:val="en-GB"/>
        </w:rPr>
        <w:t>Jirgensons</w:t>
      </w:r>
      <w:proofErr w:type="spellEnd"/>
      <w:r w:rsidRPr="00F726E0">
        <w:rPr>
          <w:sz w:val="22"/>
          <w:lang w:val="en-GB"/>
        </w:rPr>
        <w:t xml:space="preserve">, A. </w:t>
      </w:r>
      <w:r w:rsidRPr="00F726E0">
        <w:rPr>
          <w:i/>
          <w:sz w:val="22"/>
          <w:lang w:val="en-GB"/>
        </w:rPr>
        <w:t>RSC Advances</w:t>
      </w:r>
      <w:r w:rsidRPr="00F726E0">
        <w:rPr>
          <w:sz w:val="22"/>
          <w:lang w:val="en-GB"/>
        </w:rPr>
        <w:t xml:space="preserve"> </w:t>
      </w:r>
      <w:r w:rsidRPr="00F726E0">
        <w:rPr>
          <w:b/>
          <w:sz w:val="22"/>
          <w:lang w:val="en-GB"/>
        </w:rPr>
        <w:t>2021</w:t>
      </w:r>
      <w:r w:rsidRPr="00F726E0">
        <w:rPr>
          <w:sz w:val="22"/>
          <w:lang w:val="en-GB"/>
        </w:rPr>
        <w:t xml:space="preserve">, </w:t>
      </w:r>
      <w:r w:rsidRPr="00F726E0">
        <w:rPr>
          <w:i/>
          <w:sz w:val="22"/>
          <w:lang w:val="en-GB"/>
        </w:rPr>
        <w:t>11</w:t>
      </w:r>
      <w:r w:rsidRPr="00F726E0">
        <w:rPr>
          <w:sz w:val="22"/>
          <w:lang w:val="en-GB"/>
        </w:rPr>
        <w:t>, 22710.</w:t>
      </w:r>
    </w:p>
    <w:p w:rsidR="003A168E" w:rsidRPr="00AC3447" w:rsidRDefault="00F726E0" w:rsidP="00F726E0">
      <w:pPr>
        <w:rPr>
          <w:sz w:val="22"/>
          <w:lang w:val="en-GB"/>
        </w:rPr>
      </w:pPr>
      <w:r>
        <w:rPr>
          <w:sz w:val="22"/>
          <w:lang w:val="en-GB"/>
        </w:rPr>
        <w:fldChar w:fldCharType="begin"/>
      </w:r>
      <w:r>
        <w:rPr>
          <w:sz w:val="22"/>
          <w:lang w:val="en-GB"/>
        </w:rPr>
        <w:instrText xml:space="preserve"> ADDIN EN.REFLIST </w:instrText>
      </w:r>
      <w:r>
        <w:rPr>
          <w:sz w:val="22"/>
          <w:lang w:val="en-GB"/>
        </w:rPr>
        <w:fldChar w:fldCharType="separate"/>
      </w:r>
      <w:r>
        <w:rPr>
          <w:sz w:val="22"/>
          <w:lang w:val="en-GB"/>
        </w:rPr>
        <w:fldChar w:fldCharType="end"/>
      </w:r>
    </w:p>
    <w:sectPr w:rsidR="003A168E" w:rsidRPr="00AC3447" w:rsidSect="001E40FF">
      <w:headerReference w:type="default" r:id="rId8"/>
      <w:type w:val="continuous"/>
      <w:pgSz w:w="11906" w:h="16838"/>
      <w:pgMar w:top="1697" w:right="1134" w:bottom="1560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AA6" w:rsidRDefault="003C7AA6">
      <w:r>
        <w:separator/>
      </w:r>
    </w:p>
  </w:endnote>
  <w:endnote w:type="continuationSeparator" w:id="0">
    <w:p w:rsidR="003C7AA6" w:rsidRDefault="003C7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AA6" w:rsidRDefault="003C7AA6">
      <w:r>
        <w:separator/>
      </w:r>
    </w:p>
  </w:footnote>
  <w:footnote w:type="continuationSeparator" w:id="0">
    <w:p w:rsidR="003C7AA6" w:rsidRDefault="003C7A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692" w:rsidRPr="009D4EFA" w:rsidRDefault="00237692" w:rsidP="003A168E">
    <w:pPr>
      <w:autoSpaceDE w:val="0"/>
      <w:autoSpaceDN w:val="0"/>
      <w:adjustRightInd w:val="0"/>
      <w:spacing w:after="720"/>
      <w:ind w:left="720" w:firstLine="720"/>
      <w:rPr>
        <w:lang w:val="lv-LV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Chemical Reviews&lt;/Style&gt;&lt;LeftDelim&gt;{&lt;/LeftDelim&gt;&lt;RightDelim&gt;}&lt;/RightDelim&gt;&lt;FontName&gt;Times New Roman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zrx0wvv20efaavezpscxdpf6f2pfdxp90t09&quot;&gt;Vitalii_EndNote Library&lt;record-ids&gt;&lt;item&gt;21&lt;/item&gt;&lt;/record-ids&gt;&lt;/item&gt;&lt;/Libraries&gt;"/>
  </w:docVars>
  <w:rsids>
    <w:rsidRoot w:val="00FE53D9"/>
    <w:rsid w:val="00001DB6"/>
    <w:rsid w:val="0002638B"/>
    <w:rsid w:val="00041374"/>
    <w:rsid w:val="00044693"/>
    <w:rsid w:val="00057792"/>
    <w:rsid w:val="000659A5"/>
    <w:rsid w:val="000700A6"/>
    <w:rsid w:val="0007533A"/>
    <w:rsid w:val="00084237"/>
    <w:rsid w:val="00097128"/>
    <w:rsid w:val="000F14B3"/>
    <w:rsid w:val="001234FC"/>
    <w:rsid w:val="00136802"/>
    <w:rsid w:val="00172AEB"/>
    <w:rsid w:val="001A31E6"/>
    <w:rsid w:val="001E40FF"/>
    <w:rsid w:val="0022275C"/>
    <w:rsid w:val="00237692"/>
    <w:rsid w:val="0024076E"/>
    <w:rsid w:val="0026404A"/>
    <w:rsid w:val="002B1E67"/>
    <w:rsid w:val="002B496E"/>
    <w:rsid w:val="002C41E4"/>
    <w:rsid w:val="00305DAC"/>
    <w:rsid w:val="00320911"/>
    <w:rsid w:val="00323466"/>
    <w:rsid w:val="003245B3"/>
    <w:rsid w:val="00327464"/>
    <w:rsid w:val="00336C3F"/>
    <w:rsid w:val="00377934"/>
    <w:rsid w:val="00380471"/>
    <w:rsid w:val="003A168E"/>
    <w:rsid w:val="003C7AA6"/>
    <w:rsid w:val="00435F97"/>
    <w:rsid w:val="00494DD0"/>
    <w:rsid w:val="004B6FDF"/>
    <w:rsid w:val="004C0253"/>
    <w:rsid w:val="004D541F"/>
    <w:rsid w:val="005A3541"/>
    <w:rsid w:val="005B1A48"/>
    <w:rsid w:val="005B6A2C"/>
    <w:rsid w:val="005F261B"/>
    <w:rsid w:val="0065606C"/>
    <w:rsid w:val="0067735C"/>
    <w:rsid w:val="00685934"/>
    <w:rsid w:val="006B0A16"/>
    <w:rsid w:val="006D364D"/>
    <w:rsid w:val="006E14C2"/>
    <w:rsid w:val="006E796A"/>
    <w:rsid w:val="007311A7"/>
    <w:rsid w:val="007454CA"/>
    <w:rsid w:val="00781E2A"/>
    <w:rsid w:val="00784139"/>
    <w:rsid w:val="007B1A27"/>
    <w:rsid w:val="007E7CFB"/>
    <w:rsid w:val="007F5086"/>
    <w:rsid w:val="0082699A"/>
    <w:rsid w:val="00867F63"/>
    <w:rsid w:val="008867EE"/>
    <w:rsid w:val="00890EEF"/>
    <w:rsid w:val="008E3A98"/>
    <w:rsid w:val="00906726"/>
    <w:rsid w:val="00912897"/>
    <w:rsid w:val="009235DB"/>
    <w:rsid w:val="009256B6"/>
    <w:rsid w:val="00946AA9"/>
    <w:rsid w:val="0096110F"/>
    <w:rsid w:val="0096484A"/>
    <w:rsid w:val="009A1094"/>
    <w:rsid w:val="009B79DA"/>
    <w:rsid w:val="009C2ABB"/>
    <w:rsid w:val="009D332A"/>
    <w:rsid w:val="009E33AA"/>
    <w:rsid w:val="009F2C7B"/>
    <w:rsid w:val="009F71E0"/>
    <w:rsid w:val="00A026F9"/>
    <w:rsid w:val="00A1355F"/>
    <w:rsid w:val="00A34384"/>
    <w:rsid w:val="00AA28F1"/>
    <w:rsid w:val="00AA7228"/>
    <w:rsid w:val="00AB6491"/>
    <w:rsid w:val="00AC3447"/>
    <w:rsid w:val="00B147E9"/>
    <w:rsid w:val="00B67C68"/>
    <w:rsid w:val="00BD1858"/>
    <w:rsid w:val="00C223B4"/>
    <w:rsid w:val="00C56CC4"/>
    <w:rsid w:val="00C63CAD"/>
    <w:rsid w:val="00C7215B"/>
    <w:rsid w:val="00C8016C"/>
    <w:rsid w:val="00C82CB0"/>
    <w:rsid w:val="00C93E7D"/>
    <w:rsid w:val="00CA2EB7"/>
    <w:rsid w:val="00D96BAC"/>
    <w:rsid w:val="00DF6739"/>
    <w:rsid w:val="00E06F6E"/>
    <w:rsid w:val="00E21EE9"/>
    <w:rsid w:val="00E22686"/>
    <w:rsid w:val="00E33727"/>
    <w:rsid w:val="00E65883"/>
    <w:rsid w:val="00F27B08"/>
    <w:rsid w:val="00F41530"/>
    <w:rsid w:val="00F62ED3"/>
    <w:rsid w:val="00F726E0"/>
    <w:rsid w:val="00FD54D5"/>
    <w:rsid w:val="00FE2D08"/>
    <w:rsid w:val="00FE5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852FD51"/>
  <w15:docId w15:val="{12A87EB9-1871-45DC-AF3E-973804A10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AU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  <w:lang w:val="lv-LV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  <w:lang w:val="lv-LV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semiHidden/>
    <w:pPr>
      <w:spacing w:line="360" w:lineRule="auto"/>
      <w:jc w:val="center"/>
    </w:pPr>
    <w:rPr>
      <w:b/>
      <w:caps/>
      <w:sz w:val="40"/>
      <w:lang w:val="en-US"/>
    </w:rPr>
  </w:style>
  <w:style w:type="paragraph" w:styleId="Title">
    <w:name w:val="Title"/>
    <w:basedOn w:val="Normal"/>
    <w:qFormat/>
    <w:pPr>
      <w:jc w:val="center"/>
    </w:pPr>
    <w:rPr>
      <w:sz w:val="28"/>
      <w:lang w:val="it-IT"/>
    </w:rPr>
  </w:style>
  <w:style w:type="paragraph" w:styleId="BodyText">
    <w:name w:val="Body Text"/>
    <w:basedOn w:val="Normal"/>
    <w:semiHidden/>
    <w:pPr>
      <w:widowControl w:val="0"/>
      <w:spacing w:line="360" w:lineRule="auto"/>
      <w:jc w:val="center"/>
    </w:pPr>
    <w:rPr>
      <w:sz w:val="32"/>
      <w:lang w:val="en-US"/>
    </w:rPr>
  </w:style>
  <w:style w:type="paragraph" w:styleId="BodyTextIndent3">
    <w:name w:val="Body Text Indent 3"/>
    <w:basedOn w:val="Normal"/>
    <w:semiHidden/>
    <w:pPr>
      <w:widowControl w:val="0"/>
      <w:spacing w:line="360" w:lineRule="auto"/>
      <w:ind w:firstLine="720"/>
      <w:jc w:val="both"/>
    </w:pPr>
    <w:rPr>
      <w:sz w:val="24"/>
      <w:lang w:val="en-US"/>
    </w:rPr>
  </w:style>
  <w:style w:type="paragraph" w:styleId="Footer">
    <w:name w:val="footer"/>
    <w:basedOn w:val="Normal"/>
    <w:semiHidden/>
    <w:pPr>
      <w:widowControl w:val="0"/>
      <w:tabs>
        <w:tab w:val="center" w:pos="4153"/>
        <w:tab w:val="right" w:pos="8306"/>
      </w:tabs>
    </w:pPr>
    <w:rPr>
      <w:sz w:val="22"/>
      <w:lang w:val="en-US"/>
    </w:rPr>
  </w:style>
  <w:style w:type="paragraph" w:styleId="BodyText3">
    <w:name w:val="Body Text 3"/>
    <w:basedOn w:val="Normal"/>
    <w:semiHidden/>
    <w:pPr>
      <w:widowControl w:val="0"/>
      <w:jc w:val="both"/>
    </w:pPr>
    <w:rPr>
      <w:sz w:val="24"/>
      <w:lang w:val="en-US"/>
    </w:rPr>
  </w:style>
  <w:style w:type="paragraph" w:styleId="BodyTextIndent">
    <w:name w:val="Body Text Indent"/>
    <w:basedOn w:val="Normal"/>
    <w:semiHidden/>
    <w:pPr>
      <w:ind w:firstLine="720"/>
      <w:jc w:val="both"/>
    </w:p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4B6FDF"/>
    <w:rPr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28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897"/>
    <w:rPr>
      <w:rFonts w:ascii="Tahoma" w:hAnsi="Tahoma" w:cs="Tahoma"/>
      <w:sz w:val="16"/>
      <w:szCs w:val="16"/>
      <w:lang w:val="en-AU"/>
    </w:rPr>
  </w:style>
  <w:style w:type="table" w:styleId="TableGrid">
    <w:name w:val="Table Grid"/>
    <w:basedOn w:val="TableNormal"/>
    <w:uiPriority w:val="39"/>
    <w:rsid w:val="00A026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06726"/>
    <w:rPr>
      <w:color w:val="0563C1" w:themeColor="hyperlink"/>
      <w:u w:val="single"/>
    </w:rPr>
  </w:style>
  <w:style w:type="paragraph" w:customStyle="1" w:styleId="EndNoteBibliographyTitle">
    <w:name w:val="EndNote Bibliography Title"/>
    <w:basedOn w:val="Normal"/>
    <w:link w:val="EndNoteBibliographyTitleChar"/>
    <w:rsid w:val="002C41E4"/>
    <w:pPr>
      <w:jc w:val="center"/>
    </w:pPr>
    <w:rPr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2C41E4"/>
    <w:rPr>
      <w:noProof/>
    </w:rPr>
  </w:style>
  <w:style w:type="paragraph" w:customStyle="1" w:styleId="EndNoteBibliography">
    <w:name w:val="EndNote Bibliography"/>
    <w:basedOn w:val="Normal"/>
    <w:link w:val="EndNoteBibliographyChar"/>
    <w:rsid w:val="002C41E4"/>
    <w:pPr>
      <w:jc w:val="both"/>
    </w:pPr>
    <w:rPr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2C41E4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209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</vt:lpstr>
    </vt:vector>
  </TitlesOfParts>
  <Company>OSI</Company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</dc:title>
  <dc:creator>Valerjan</dc:creator>
  <cp:lastModifiedBy>vitalii</cp:lastModifiedBy>
  <cp:revision>20</cp:revision>
  <cp:lastPrinted>2023-03-03T12:56:00Z</cp:lastPrinted>
  <dcterms:created xsi:type="dcterms:W3CDTF">2020-11-26T13:18:00Z</dcterms:created>
  <dcterms:modified xsi:type="dcterms:W3CDTF">2023-03-03T13:06:00Z</dcterms:modified>
</cp:coreProperties>
</file>