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368F" w14:textId="47545FC4" w:rsidR="009B79DA" w:rsidRDefault="00EC5C16" w:rsidP="007E7CFB">
      <w:pPr>
        <w:pStyle w:val="Title"/>
        <w:spacing w:before="240" w:after="240"/>
        <w:jc w:val="lef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USE OF PROPARGYLSILANES FOR THE PREPARATION OF HIGHLY FUNCTIONALIZED ALKENES VIA 1,2-SILYL MIGRATION</w:t>
      </w:r>
    </w:p>
    <w:p w14:paraId="3280F4B3" w14:textId="5AC2426D" w:rsidR="0002638B" w:rsidRPr="0002638B" w:rsidRDefault="00EC5C16" w:rsidP="007E7CFB">
      <w:pPr>
        <w:pStyle w:val="Title"/>
        <w:spacing w:before="240" w:after="240"/>
        <w:jc w:val="lef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PROPARGILSILĀNU PIELIETOJUMS AUGSTI FUNKCIONALIZĒTU ALKENU SINTĒZĒ AR 1,2-SILILGRUPAS NOBĪDI</w:t>
      </w:r>
    </w:p>
    <w:p w14:paraId="18384E52" w14:textId="33BB973F" w:rsidR="009E33AA" w:rsidRPr="00906726" w:rsidRDefault="00861090" w:rsidP="00237692">
      <w:pPr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Rūdolfs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Beļaunieks</w:t>
      </w:r>
      <w:proofErr w:type="spellEnd"/>
      <w:r>
        <w:rPr>
          <w:b/>
          <w:sz w:val="24"/>
          <w:szCs w:val="24"/>
          <w:lang w:val="en-GB"/>
        </w:rPr>
        <w:t xml:space="preserve">, </w:t>
      </w:r>
      <w:proofErr w:type="spellStart"/>
      <w:r>
        <w:rPr>
          <w:b/>
          <w:sz w:val="24"/>
          <w:szCs w:val="24"/>
          <w:lang w:val="en-GB"/>
        </w:rPr>
        <w:t>Mikus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Puriņš</w:t>
      </w:r>
      <w:proofErr w:type="spellEnd"/>
      <w:r>
        <w:rPr>
          <w:b/>
          <w:sz w:val="24"/>
          <w:szCs w:val="24"/>
          <w:lang w:val="en-GB"/>
        </w:rPr>
        <w:t xml:space="preserve">, Rebeka Anna </w:t>
      </w:r>
      <w:proofErr w:type="spellStart"/>
      <w:r>
        <w:rPr>
          <w:b/>
          <w:sz w:val="24"/>
          <w:szCs w:val="24"/>
          <w:lang w:val="en-GB"/>
        </w:rPr>
        <w:t>Līpiņa</w:t>
      </w:r>
      <w:proofErr w:type="spellEnd"/>
      <w:r>
        <w:rPr>
          <w:b/>
          <w:sz w:val="24"/>
          <w:szCs w:val="24"/>
          <w:lang w:val="en-GB"/>
        </w:rPr>
        <w:t xml:space="preserve">, </w:t>
      </w:r>
      <w:proofErr w:type="spellStart"/>
      <w:r>
        <w:rPr>
          <w:b/>
          <w:sz w:val="24"/>
          <w:szCs w:val="24"/>
          <w:lang w:val="en-GB"/>
        </w:rPr>
        <w:t>Māris</w:t>
      </w:r>
      <w:proofErr w:type="spellEnd"/>
      <w:r>
        <w:rPr>
          <w:b/>
          <w:sz w:val="24"/>
          <w:szCs w:val="24"/>
          <w:lang w:val="en-GB"/>
        </w:rPr>
        <w:t xml:space="preserve"> Turks</w:t>
      </w:r>
    </w:p>
    <w:p w14:paraId="7407E0E5" w14:textId="2318E968" w:rsidR="003A168E" w:rsidRDefault="007450F1" w:rsidP="00EC5C16">
      <w:pPr>
        <w:pStyle w:val="Footer"/>
        <w:spacing w:before="120"/>
        <w:rPr>
          <w:i/>
          <w:szCs w:val="22"/>
          <w:lang w:val="en-GB"/>
        </w:rPr>
      </w:pPr>
      <w:r>
        <w:rPr>
          <w:i/>
          <w:szCs w:val="22"/>
          <w:lang w:val="en-GB"/>
        </w:rPr>
        <w:t xml:space="preserve">Faculty of Materials Science and Applied Chemistry, Riga Technical University, </w:t>
      </w:r>
      <w:proofErr w:type="spellStart"/>
      <w:proofErr w:type="gramStart"/>
      <w:r>
        <w:rPr>
          <w:i/>
          <w:szCs w:val="22"/>
          <w:lang w:val="en-GB"/>
        </w:rPr>
        <w:t>P.Valdena</w:t>
      </w:r>
      <w:proofErr w:type="spellEnd"/>
      <w:proofErr w:type="gramEnd"/>
      <w:r>
        <w:rPr>
          <w:i/>
          <w:szCs w:val="22"/>
          <w:lang w:val="en-GB"/>
        </w:rPr>
        <w:t xml:space="preserve"> </w:t>
      </w:r>
      <w:proofErr w:type="spellStart"/>
      <w:r>
        <w:rPr>
          <w:i/>
          <w:szCs w:val="22"/>
          <w:lang w:val="en-GB"/>
        </w:rPr>
        <w:t>iela</w:t>
      </w:r>
      <w:proofErr w:type="spellEnd"/>
      <w:r>
        <w:rPr>
          <w:i/>
          <w:szCs w:val="22"/>
          <w:lang w:val="en-GB"/>
        </w:rPr>
        <w:t xml:space="preserve"> 3. </w:t>
      </w:r>
      <w:proofErr w:type="spellStart"/>
      <w:r>
        <w:rPr>
          <w:i/>
          <w:szCs w:val="22"/>
          <w:lang w:val="en-GB"/>
        </w:rPr>
        <w:t>Rīga</w:t>
      </w:r>
      <w:proofErr w:type="spellEnd"/>
      <w:r>
        <w:rPr>
          <w:i/>
          <w:szCs w:val="22"/>
          <w:lang w:val="en-GB"/>
        </w:rPr>
        <w:t>, Latvia, LV-1048.</w:t>
      </w:r>
    </w:p>
    <w:p w14:paraId="6D4B990A" w14:textId="6527B2C2" w:rsidR="009E33AA" w:rsidRPr="00EC5C16" w:rsidRDefault="00320911" w:rsidP="005B1A48">
      <w:pPr>
        <w:pStyle w:val="Footer"/>
        <w:spacing w:after="360"/>
        <w:rPr>
          <w:i/>
          <w:iCs/>
        </w:rPr>
      </w:pPr>
      <w:r w:rsidRPr="00906726">
        <w:rPr>
          <w:i/>
          <w:snapToGrid w:val="0"/>
          <w:szCs w:val="22"/>
          <w:lang w:val="it-IT"/>
        </w:rPr>
        <w:t>e-</w:t>
      </w:r>
      <w:r w:rsidR="00912897" w:rsidRPr="00906726">
        <w:rPr>
          <w:i/>
          <w:snapToGrid w:val="0"/>
          <w:szCs w:val="22"/>
          <w:lang w:val="it-IT"/>
        </w:rPr>
        <w:t>mail</w:t>
      </w:r>
      <w:r w:rsidRPr="00906726">
        <w:rPr>
          <w:i/>
          <w:snapToGrid w:val="0"/>
          <w:szCs w:val="22"/>
          <w:lang w:val="it-IT"/>
        </w:rPr>
        <w:t>:</w:t>
      </w:r>
      <w:r w:rsidR="00EC5C16">
        <w:rPr>
          <w:i/>
          <w:snapToGrid w:val="0"/>
          <w:szCs w:val="22"/>
          <w:lang w:val="it-IT"/>
        </w:rPr>
        <w:t xml:space="preserve"> </w:t>
      </w:r>
      <w:r w:rsidR="00EC5C16">
        <w:rPr>
          <w:i/>
          <w:iCs/>
        </w:rPr>
        <w:t>rudolfs.belaunieks@rtu.lv</w:t>
      </w:r>
      <w:r w:rsidR="003A168E">
        <w:rPr>
          <w:i/>
          <w:sz w:val="24"/>
          <w:szCs w:val="24"/>
          <w:lang w:val="en-GB"/>
        </w:rPr>
        <w:tab/>
      </w:r>
    </w:p>
    <w:p w14:paraId="443CD874" w14:textId="4D94EDAF" w:rsidR="00EC5C16" w:rsidRPr="00FF0833" w:rsidRDefault="00EC5C16" w:rsidP="00EC5C16">
      <w:pPr>
        <w:autoSpaceDE w:val="0"/>
        <w:autoSpaceDN w:val="0"/>
        <w:adjustRightInd w:val="0"/>
        <w:ind w:firstLine="720"/>
        <w:jc w:val="both"/>
        <w:rPr>
          <w:bCs/>
          <w:sz w:val="24"/>
        </w:rPr>
      </w:pPr>
      <w:r>
        <w:rPr>
          <w:bCs/>
          <w:sz w:val="24"/>
        </w:rPr>
        <w:t xml:space="preserve">The ease of the unsaturated system reactivity proceeding via </w:t>
      </w:r>
      <w:r>
        <w:rPr>
          <w:bCs/>
          <w:sz w:val="24"/>
        </w:rPr>
        <w:sym w:font="Symbol" w:char="F062"/>
      </w:r>
      <w:r>
        <w:rPr>
          <w:bCs/>
          <w:sz w:val="24"/>
        </w:rPr>
        <w:t>-silyl carb</w:t>
      </w:r>
      <w:r w:rsidR="001779F4">
        <w:rPr>
          <w:bCs/>
          <w:sz w:val="24"/>
        </w:rPr>
        <w:t xml:space="preserve">ocation </w:t>
      </w:r>
      <w:r>
        <w:rPr>
          <w:bCs/>
          <w:sz w:val="24"/>
        </w:rPr>
        <w:t>ion can be explained by the stabilizing effects of the silicon-carbon bond interaction with car</w:t>
      </w:r>
      <w:r w:rsidR="001779F4">
        <w:rPr>
          <w:bCs/>
          <w:sz w:val="24"/>
        </w:rPr>
        <w:t>bocation</w:t>
      </w:r>
      <w:r>
        <w:rPr>
          <w:bCs/>
          <w:sz w:val="24"/>
        </w:rPr>
        <w:t xml:space="preserve"> ion - known as </w:t>
      </w:r>
      <w:r>
        <w:rPr>
          <w:bCs/>
          <w:sz w:val="24"/>
        </w:rPr>
        <w:sym w:font="Symbol" w:char="F062"/>
      </w:r>
      <w:r>
        <w:rPr>
          <w:bCs/>
          <w:sz w:val="24"/>
        </w:rPr>
        <w:t xml:space="preserve">-silicon effect. This can be achieved by either vertical (hyperconjugation) or non-vertical (formation of cyclic </w:t>
      </w:r>
      <w:proofErr w:type="spellStart"/>
      <w:r>
        <w:rPr>
          <w:bCs/>
          <w:sz w:val="24"/>
        </w:rPr>
        <w:t>silonium</w:t>
      </w:r>
      <w:proofErr w:type="spellEnd"/>
      <w:r>
        <w:rPr>
          <w:bCs/>
          <w:sz w:val="24"/>
        </w:rPr>
        <w:t xml:space="preserve"> ion) stabilization. The formation of the latter</w:t>
      </w:r>
      <w:r>
        <w:rPr>
          <w:bCs/>
          <w:sz w:val="24"/>
        </w:rPr>
        <w:t>,</w:t>
      </w:r>
      <w:r>
        <w:rPr>
          <w:bCs/>
          <w:sz w:val="24"/>
        </w:rPr>
        <w:t xml:space="preserve"> </w:t>
      </w:r>
      <w:r>
        <w:rPr>
          <w:bCs/>
          <w:sz w:val="24"/>
        </w:rPr>
        <w:t>in combination with</w:t>
      </w:r>
      <w:r>
        <w:rPr>
          <w:bCs/>
          <w:sz w:val="24"/>
        </w:rPr>
        <w:t xml:space="preserve"> other stabilizing effects</w:t>
      </w:r>
      <w:r w:rsidR="001779F4">
        <w:rPr>
          <w:bCs/>
          <w:sz w:val="24"/>
        </w:rPr>
        <w:t>,</w:t>
      </w:r>
      <w:r>
        <w:rPr>
          <w:bCs/>
          <w:sz w:val="24"/>
        </w:rPr>
        <w:t xml:space="preserve"> </w:t>
      </w:r>
      <w:r>
        <w:rPr>
          <w:bCs/>
          <w:sz w:val="24"/>
        </w:rPr>
        <w:t>causes</w:t>
      </w:r>
      <w:r>
        <w:rPr>
          <w:bCs/>
          <w:sz w:val="24"/>
        </w:rPr>
        <w:t xml:space="preserve"> 1,2-silyl migration [1].</w:t>
      </w:r>
    </w:p>
    <w:p w14:paraId="7AAD7582" w14:textId="6A34AE19" w:rsidR="00EC5C16" w:rsidRPr="00AD515B" w:rsidRDefault="00EC5C16" w:rsidP="00EC5C16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Previously, we have reported the use </w:t>
      </w:r>
      <w:r>
        <w:rPr>
          <w:sz w:val="24"/>
        </w:rPr>
        <w:t xml:space="preserve">of </w:t>
      </w:r>
      <w:proofErr w:type="spellStart"/>
      <w:r>
        <w:rPr>
          <w:sz w:val="24"/>
        </w:rPr>
        <w:t>Brønsted</w:t>
      </w:r>
      <w:proofErr w:type="spellEnd"/>
      <w:r>
        <w:rPr>
          <w:sz w:val="24"/>
        </w:rPr>
        <w:t xml:space="preserve"> acid to </w:t>
      </w:r>
      <w:proofErr w:type="spellStart"/>
      <w:r>
        <w:rPr>
          <w:sz w:val="24"/>
        </w:rPr>
        <w:t>catalyze</w:t>
      </w:r>
      <w:proofErr w:type="spellEnd"/>
      <w:r>
        <w:rPr>
          <w:sz w:val="24"/>
        </w:rPr>
        <w:t xml:space="preserve"> reactions of </w:t>
      </w:r>
      <w:r>
        <w:rPr>
          <w:sz w:val="24"/>
        </w:rPr>
        <w:t>propargyl silanes</w:t>
      </w:r>
      <w:r>
        <w:rPr>
          <w:sz w:val="24"/>
        </w:rPr>
        <w:t xml:space="preserve"> to form various silyl dienes and </w:t>
      </w:r>
      <w:proofErr w:type="spellStart"/>
      <w:r>
        <w:rPr>
          <w:sz w:val="24"/>
        </w:rPr>
        <w:t>indenes</w:t>
      </w:r>
      <w:proofErr w:type="spellEnd"/>
      <w:r>
        <w:rPr>
          <w:sz w:val="24"/>
        </w:rPr>
        <w:t xml:space="preserve"> [2,3]. Herein, we report the expanded use </w:t>
      </w:r>
      <w:r w:rsidR="001779F4">
        <w:rPr>
          <w:sz w:val="24"/>
        </w:rPr>
        <w:t>of the concept by using</w:t>
      </w:r>
      <w:r>
        <w:rPr>
          <w:sz w:val="24"/>
        </w:rPr>
        <w:t xml:space="preserve"> </w:t>
      </w:r>
      <w:r>
        <w:rPr>
          <w:sz w:val="24"/>
        </w:rPr>
        <w:t xml:space="preserve">electrophilic bromine to induce the formation of the reactive allylic cation that </w:t>
      </w:r>
      <w:r w:rsidR="001779F4">
        <w:rPr>
          <w:sz w:val="24"/>
        </w:rPr>
        <w:t>readily</w:t>
      </w:r>
      <w:r>
        <w:rPr>
          <w:sz w:val="24"/>
        </w:rPr>
        <w:t xml:space="preserve"> reacts with a variety of nucleophilic solvents like methanol, dimethylformamide</w:t>
      </w:r>
      <w:r w:rsidR="001779F4">
        <w:rPr>
          <w:sz w:val="24"/>
        </w:rPr>
        <w:t>,</w:t>
      </w:r>
      <w:r>
        <w:rPr>
          <w:sz w:val="24"/>
        </w:rPr>
        <w:t xml:space="preserve"> and acetic acid</w:t>
      </w:r>
      <w:r w:rsidR="001779F4">
        <w:rPr>
          <w:sz w:val="24"/>
        </w:rPr>
        <w:t xml:space="preserve"> to form allyl functionalized vinyl silanes.</w:t>
      </w:r>
    </w:p>
    <w:p w14:paraId="7CBB5AE2" w14:textId="0D0F0842" w:rsidR="00EC5C16" w:rsidRDefault="00D8518F" w:rsidP="00EC5C16">
      <w:pPr>
        <w:autoSpaceDE w:val="0"/>
        <w:autoSpaceDN w:val="0"/>
        <w:adjustRightInd w:val="0"/>
        <w:spacing w:before="120"/>
        <w:jc w:val="center"/>
        <w:rPr>
          <w:b/>
          <w:sz w:val="22"/>
          <w:szCs w:val="22"/>
          <w:lang w:val="en-GB"/>
        </w:rPr>
      </w:pPr>
      <w:r w:rsidRPr="00D8518F">
        <w:rPr>
          <w:b/>
          <w:sz w:val="22"/>
          <w:szCs w:val="22"/>
          <w:lang w:val="en-GB"/>
        </w:rPr>
        <w:drawing>
          <wp:inline distT="0" distB="0" distL="0" distR="0" wp14:anchorId="14BC7650" wp14:editId="1D13A698">
            <wp:extent cx="387350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D6487" w14:textId="4FC179D0" w:rsidR="0067735C" w:rsidRPr="00906726" w:rsidRDefault="00AC3447" w:rsidP="001779F4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  <w:lang w:val="en-GB"/>
        </w:rPr>
      </w:pPr>
      <w:r w:rsidRPr="00906726">
        <w:rPr>
          <w:b/>
          <w:sz w:val="22"/>
          <w:szCs w:val="22"/>
          <w:lang w:val="en-GB"/>
        </w:rPr>
        <w:t>Fig.</w:t>
      </w:r>
      <w:r w:rsidR="001E40FF" w:rsidRPr="00906726">
        <w:rPr>
          <w:b/>
          <w:sz w:val="22"/>
          <w:szCs w:val="22"/>
          <w:lang w:val="en-GB"/>
        </w:rPr>
        <w:t xml:space="preserve"> 1. </w:t>
      </w:r>
      <w:r w:rsidRPr="00906726">
        <w:rPr>
          <w:sz w:val="22"/>
          <w:szCs w:val="22"/>
          <w:lang w:val="en-GB"/>
        </w:rPr>
        <w:t xml:space="preserve"> </w:t>
      </w:r>
      <w:r w:rsidR="001779F4">
        <w:rPr>
          <w:sz w:val="22"/>
          <w:szCs w:val="22"/>
          <w:lang w:val="en-GB"/>
        </w:rPr>
        <w:t>General scheme of electrophile-induced propargyl silane transformation with solvents.</w:t>
      </w:r>
    </w:p>
    <w:p w14:paraId="011669DC" w14:textId="2C7CA25A" w:rsidR="00F27B08" w:rsidRPr="001779F4" w:rsidRDefault="001779F4" w:rsidP="00D8518F">
      <w:pPr>
        <w:jc w:val="both"/>
        <w:rPr>
          <w:sz w:val="24"/>
          <w:szCs w:val="24"/>
          <w:lang w:val="en-GB"/>
        </w:rPr>
      </w:pPr>
      <w:r w:rsidRPr="001779F4">
        <w:rPr>
          <w:sz w:val="24"/>
          <w:szCs w:val="24"/>
          <w:lang w:val="en-GB"/>
        </w:rPr>
        <w:t>Use and the functionality of the obtained vinyl silanes are showcased in a variety of transition metal-</w:t>
      </w:r>
      <w:proofErr w:type="spellStart"/>
      <w:r w:rsidRPr="001779F4">
        <w:rPr>
          <w:sz w:val="24"/>
          <w:szCs w:val="24"/>
          <w:lang w:val="en-GB"/>
        </w:rPr>
        <w:t>catalyzed</w:t>
      </w:r>
      <w:proofErr w:type="spellEnd"/>
      <w:r w:rsidRPr="001779F4">
        <w:rPr>
          <w:sz w:val="24"/>
          <w:szCs w:val="24"/>
          <w:lang w:val="en-GB"/>
        </w:rPr>
        <w:t xml:space="preserve"> transformations like Suzuki-</w:t>
      </w:r>
      <w:proofErr w:type="spellStart"/>
      <w:r w:rsidRPr="001779F4">
        <w:rPr>
          <w:sz w:val="24"/>
          <w:szCs w:val="24"/>
          <w:lang w:val="en-GB"/>
        </w:rPr>
        <w:t>Miyaura</w:t>
      </w:r>
      <w:proofErr w:type="spellEnd"/>
      <w:r w:rsidRPr="001779F4">
        <w:rPr>
          <w:sz w:val="24"/>
          <w:szCs w:val="24"/>
          <w:lang w:val="en-GB"/>
        </w:rPr>
        <w:t xml:space="preserve"> coupling, C-H activation, electrophilic silicon exchange reaction</w:t>
      </w:r>
      <w:r>
        <w:rPr>
          <w:sz w:val="24"/>
          <w:szCs w:val="24"/>
          <w:lang w:val="en-GB"/>
        </w:rPr>
        <w:t>,</w:t>
      </w:r>
      <w:r w:rsidRPr="001779F4">
        <w:rPr>
          <w:sz w:val="24"/>
          <w:szCs w:val="24"/>
          <w:lang w:val="en-GB"/>
        </w:rPr>
        <w:t xml:space="preserve"> and </w:t>
      </w:r>
      <w:proofErr w:type="gramStart"/>
      <w:r w:rsidRPr="001779F4">
        <w:rPr>
          <w:sz w:val="24"/>
          <w:szCs w:val="24"/>
          <w:lang w:val="en-GB"/>
        </w:rPr>
        <w:t>Lewis</w:t>
      </w:r>
      <w:proofErr w:type="gramEnd"/>
      <w:r w:rsidRPr="001779F4">
        <w:rPr>
          <w:sz w:val="24"/>
          <w:szCs w:val="24"/>
          <w:lang w:val="en-GB"/>
        </w:rPr>
        <w:t xml:space="preserve"> acid-promoted intramolecular cyclization to form </w:t>
      </w:r>
      <w:proofErr w:type="spellStart"/>
      <w:r w:rsidRPr="001779F4">
        <w:rPr>
          <w:sz w:val="24"/>
          <w:szCs w:val="24"/>
          <w:lang w:val="en-GB"/>
        </w:rPr>
        <w:t>indenes</w:t>
      </w:r>
      <w:proofErr w:type="spellEnd"/>
      <w:r w:rsidRPr="001779F4">
        <w:rPr>
          <w:sz w:val="24"/>
          <w:szCs w:val="24"/>
          <w:lang w:val="en-GB"/>
        </w:rPr>
        <w:t>.</w:t>
      </w:r>
    </w:p>
    <w:p w14:paraId="53E7D617" w14:textId="77777777" w:rsidR="00F41530" w:rsidRPr="009B79DA" w:rsidRDefault="00F41530" w:rsidP="00D8518F">
      <w:pPr>
        <w:pStyle w:val="BodyTextIndent"/>
        <w:spacing w:after="120"/>
        <w:ind w:firstLine="0"/>
        <w:rPr>
          <w:sz w:val="22"/>
          <w:lang w:val="en-GB"/>
        </w:rPr>
      </w:pPr>
    </w:p>
    <w:p w14:paraId="4EB54373" w14:textId="6D621BE2" w:rsidR="001779F4" w:rsidRPr="001779F4" w:rsidRDefault="001779F4" w:rsidP="001779F4">
      <w:pPr>
        <w:pStyle w:val="BodyTextIndent"/>
        <w:spacing w:after="120"/>
        <w:ind w:firstLine="0"/>
        <w:rPr>
          <w:bCs/>
          <w:i/>
          <w:sz w:val="22"/>
          <w:lang w:val="en-LV"/>
        </w:rPr>
      </w:pPr>
      <w:r>
        <w:rPr>
          <w:b/>
          <w:i/>
          <w:sz w:val="22"/>
          <w:lang w:val="en-GB"/>
        </w:rPr>
        <w:t xml:space="preserve">Acknowledgments: </w:t>
      </w:r>
      <w:r w:rsidRPr="001779F4">
        <w:rPr>
          <w:bCs/>
          <w:i/>
          <w:sz w:val="22"/>
          <w:lang w:val="en-LV"/>
        </w:rPr>
        <w:t>This work was supported by European social fund within the project Nr. 8.2.2.0/20/I/008 and Riga Technical University doctoral student grant</w:t>
      </w:r>
    </w:p>
    <w:p w14:paraId="000D20E7" w14:textId="0801F8DF" w:rsidR="009E33AA" w:rsidRPr="009B79DA" w:rsidRDefault="00E21EE9" w:rsidP="00867F63">
      <w:pPr>
        <w:pStyle w:val="BodyTextIndent"/>
        <w:spacing w:after="120"/>
        <w:ind w:firstLine="0"/>
        <w:rPr>
          <w:b/>
          <w:i/>
          <w:sz w:val="22"/>
          <w:lang w:val="en-GB"/>
        </w:rPr>
      </w:pPr>
      <w:r w:rsidRPr="009B79DA">
        <w:rPr>
          <w:b/>
          <w:i/>
          <w:sz w:val="22"/>
          <w:lang w:val="en-GB"/>
        </w:rPr>
        <w:t>References</w:t>
      </w:r>
      <w:r w:rsidR="00320911" w:rsidRPr="009B79DA">
        <w:rPr>
          <w:b/>
          <w:i/>
          <w:sz w:val="22"/>
          <w:lang w:val="en-GB"/>
        </w:rPr>
        <w:t>:</w:t>
      </w:r>
    </w:p>
    <w:p w14:paraId="7EA00906" w14:textId="77777777" w:rsidR="001779F4" w:rsidRPr="005576C7" w:rsidRDefault="001779F4" w:rsidP="001779F4">
      <w:pPr>
        <w:jc w:val="both"/>
        <w:rPr>
          <w:sz w:val="22"/>
        </w:rPr>
      </w:pPr>
      <w:r w:rsidRPr="005576C7">
        <w:rPr>
          <w:sz w:val="22"/>
        </w:rPr>
        <w:t xml:space="preserve">1. R. </w:t>
      </w:r>
      <w:proofErr w:type="spellStart"/>
      <w:r w:rsidRPr="005576C7">
        <w:rPr>
          <w:sz w:val="22"/>
        </w:rPr>
        <w:t>Belaunieks</w:t>
      </w:r>
      <w:proofErr w:type="spellEnd"/>
      <w:r w:rsidRPr="005576C7">
        <w:rPr>
          <w:sz w:val="22"/>
        </w:rPr>
        <w:t xml:space="preserve">, M. </w:t>
      </w:r>
      <w:proofErr w:type="spellStart"/>
      <w:r w:rsidRPr="005576C7">
        <w:rPr>
          <w:sz w:val="22"/>
        </w:rPr>
        <w:t>Puriņš</w:t>
      </w:r>
      <w:proofErr w:type="spellEnd"/>
      <w:r w:rsidRPr="005576C7">
        <w:rPr>
          <w:sz w:val="22"/>
        </w:rPr>
        <w:t xml:space="preserve">, M. Turks, </w:t>
      </w:r>
      <w:r w:rsidRPr="005576C7">
        <w:rPr>
          <w:i/>
          <w:iCs/>
          <w:sz w:val="22"/>
        </w:rPr>
        <w:t>Synthesis</w:t>
      </w:r>
      <w:r w:rsidRPr="005576C7">
        <w:rPr>
          <w:sz w:val="22"/>
        </w:rPr>
        <w:t xml:space="preserve">, </w:t>
      </w:r>
      <w:r w:rsidRPr="005576C7">
        <w:rPr>
          <w:b/>
          <w:bCs/>
          <w:sz w:val="22"/>
        </w:rPr>
        <w:t>2020</w:t>
      </w:r>
      <w:r w:rsidRPr="005576C7">
        <w:rPr>
          <w:sz w:val="22"/>
        </w:rPr>
        <w:t xml:space="preserve">, </w:t>
      </w:r>
      <w:r w:rsidRPr="005576C7">
        <w:rPr>
          <w:i/>
          <w:iCs/>
          <w:sz w:val="22"/>
        </w:rPr>
        <w:t>52</w:t>
      </w:r>
      <w:r w:rsidRPr="005576C7">
        <w:rPr>
          <w:sz w:val="22"/>
        </w:rPr>
        <w:t>, 2147</w:t>
      </w:r>
    </w:p>
    <w:p w14:paraId="5C871829" w14:textId="77777777" w:rsidR="001779F4" w:rsidRPr="005576C7" w:rsidRDefault="001779F4" w:rsidP="001779F4">
      <w:pPr>
        <w:jc w:val="both"/>
        <w:rPr>
          <w:sz w:val="22"/>
        </w:rPr>
      </w:pPr>
      <w:r>
        <w:rPr>
          <w:sz w:val="22"/>
        </w:rPr>
        <w:t xml:space="preserve">2. </w:t>
      </w:r>
      <w:r w:rsidRPr="005576C7">
        <w:rPr>
          <w:sz w:val="22"/>
        </w:rPr>
        <w:t xml:space="preserve">M. </w:t>
      </w:r>
      <w:proofErr w:type="spellStart"/>
      <w:r w:rsidRPr="005576C7">
        <w:rPr>
          <w:sz w:val="22"/>
        </w:rPr>
        <w:t>Puriņš</w:t>
      </w:r>
      <w:proofErr w:type="spellEnd"/>
      <w:r w:rsidRPr="005576C7">
        <w:rPr>
          <w:sz w:val="22"/>
        </w:rPr>
        <w:t xml:space="preserve">, A. </w:t>
      </w:r>
      <w:proofErr w:type="spellStart"/>
      <w:r w:rsidRPr="005576C7">
        <w:rPr>
          <w:sz w:val="22"/>
        </w:rPr>
        <w:t>Mishnev</w:t>
      </w:r>
      <w:proofErr w:type="spellEnd"/>
      <w:r w:rsidRPr="005576C7">
        <w:rPr>
          <w:sz w:val="22"/>
        </w:rPr>
        <w:t xml:space="preserve">, M. Turks, </w:t>
      </w:r>
      <w:r w:rsidRPr="005576C7">
        <w:rPr>
          <w:i/>
          <w:iCs/>
          <w:sz w:val="22"/>
        </w:rPr>
        <w:t>J. Org. Chem.</w:t>
      </w:r>
      <w:r w:rsidRPr="005576C7">
        <w:rPr>
          <w:sz w:val="22"/>
        </w:rPr>
        <w:t>,</w:t>
      </w:r>
      <w:r w:rsidRPr="005576C7">
        <w:rPr>
          <w:i/>
          <w:iCs/>
          <w:sz w:val="22"/>
        </w:rPr>
        <w:t xml:space="preserve"> </w:t>
      </w:r>
      <w:r w:rsidRPr="005576C7">
        <w:rPr>
          <w:b/>
          <w:bCs/>
          <w:sz w:val="22"/>
        </w:rPr>
        <w:t>2019</w:t>
      </w:r>
      <w:r w:rsidRPr="005576C7">
        <w:rPr>
          <w:sz w:val="22"/>
        </w:rPr>
        <w:t xml:space="preserve">, </w:t>
      </w:r>
      <w:r w:rsidRPr="005576C7">
        <w:rPr>
          <w:i/>
          <w:iCs/>
          <w:sz w:val="22"/>
        </w:rPr>
        <w:t>84</w:t>
      </w:r>
      <w:r w:rsidRPr="005576C7">
        <w:rPr>
          <w:sz w:val="22"/>
        </w:rPr>
        <w:t>, 3595</w:t>
      </w:r>
    </w:p>
    <w:p w14:paraId="45B6D18F" w14:textId="77777777" w:rsidR="001779F4" w:rsidRPr="005576C7" w:rsidRDefault="001779F4" w:rsidP="001779F4">
      <w:pPr>
        <w:jc w:val="both"/>
        <w:rPr>
          <w:sz w:val="22"/>
        </w:rPr>
      </w:pPr>
      <w:r w:rsidRPr="005576C7">
        <w:rPr>
          <w:sz w:val="22"/>
        </w:rPr>
        <w:t xml:space="preserve">3. R. </w:t>
      </w:r>
      <w:proofErr w:type="spellStart"/>
      <w:r w:rsidRPr="005576C7">
        <w:rPr>
          <w:sz w:val="22"/>
        </w:rPr>
        <w:t>Belaunieks</w:t>
      </w:r>
      <w:proofErr w:type="spellEnd"/>
      <w:r w:rsidRPr="005576C7">
        <w:rPr>
          <w:sz w:val="22"/>
        </w:rPr>
        <w:t xml:space="preserve">, M. </w:t>
      </w:r>
      <w:proofErr w:type="spellStart"/>
      <w:r w:rsidRPr="005576C7">
        <w:rPr>
          <w:sz w:val="22"/>
        </w:rPr>
        <w:t>Puriņš</w:t>
      </w:r>
      <w:proofErr w:type="spellEnd"/>
      <w:r w:rsidRPr="005576C7">
        <w:rPr>
          <w:sz w:val="22"/>
        </w:rPr>
        <w:t xml:space="preserve">, V. </w:t>
      </w:r>
      <w:proofErr w:type="spellStart"/>
      <w:r w:rsidRPr="005576C7">
        <w:rPr>
          <w:sz w:val="22"/>
        </w:rPr>
        <w:t>Kumpiņš</w:t>
      </w:r>
      <w:proofErr w:type="spellEnd"/>
      <w:r w:rsidRPr="005576C7">
        <w:rPr>
          <w:sz w:val="22"/>
        </w:rPr>
        <w:t xml:space="preserve">, M. Turks, </w:t>
      </w:r>
      <w:r w:rsidRPr="005576C7">
        <w:rPr>
          <w:i/>
          <w:iCs/>
          <w:sz w:val="22"/>
        </w:rPr>
        <w:t xml:space="preserve">Chem. </w:t>
      </w:r>
      <w:proofErr w:type="spellStart"/>
      <w:r w:rsidRPr="005576C7">
        <w:rPr>
          <w:i/>
          <w:iCs/>
          <w:sz w:val="22"/>
        </w:rPr>
        <w:t>Heterocycl</w:t>
      </w:r>
      <w:proofErr w:type="spellEnd"/>
      <w:r w:rsidRPr="005576C7">
        <w:rPr>
          <w:i/>
          <w:iCs/>
          <w:sz w:val="22"/>
        </w:rPr>
        <w:t>. Compd.</w:t>
      </w:r>
      <w:r w:rsidRPr="005576C7">
        <w:rPr>
          <w:sz w:val="22"/>
        </w:rPr>
        <w:t xml:space="preserve">, </w:t>
      </w:r>
      <w:r w:rsidRPr="005576C7">
        <w:rPr>
          <w:b/>
          <w:bCs/>
          <w:sz w:val="22"/>
        </w:rPr>
        <w:t>2021</w:t>
      </w:r>
      <w:r w:rsidRPr="005576C7">
        <w:rPr>
          <w:sz w:val="22"/>
        </w:rPr>
        <w:t xml:space="preserve">. </w:t>
      </w:r>
      <w:r w:rsidRPr="005576C7">
        <w:rPr>
          <w:i/>
          <w:iCs/>
          <w:sz w:val="22"/>
        </w:rPr>
        <w:t>57</w:t>
      </w:r>
      <w:r w:rsidRPr="005576C7">
        <w:rPr>
          <w:sz w:val="22"/>
        </w:rPr>
        <w:t>, 20</w:t>
      </w:r>
    </w:p>
    <w:p w14:paraId="1503C2F2" w14:textId="656F1E2D" w:rsidR="003A168E" w:rsidRPr="00AC3447" w:rsidRDefault="003A168E" w:rsidP="00AC3447">
      <w:pPr>
        <w:jc w:val="both"/>
        <w:rPr>
          <w:sz w:val="22"/>
          <w:lang w:val="en-GB"/>
        </w:rPr>
      </w:pPr>
    </w:p>
    <w:sectPr w:rsidR="003A168E" w:rsidRPr="00AC3447" w:rsidSect="001E40FF">
      <w:headerReference w:type="default" r:id="rId7"/>
      <w:type w:val="continuous"/>
      <w:pgSz w:w="11906" w:h="16838"/>
      <w:pgMar w:top="1697" w:right="1134" w:bottom="156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EF23" w14:textId="77777777" w:rsidR="002C2F89" w:rsidRDefault="002C2F89">
      <w:r>
        <w:separator/>
      </w:r>
    </w:p>
  </w:endnote>
  <w:endnote w:type="continuationSeparator" w:id="0">
    <w:p w14:paraId="286D10A1" w14:textId="77777777" w:rsidR="002C2F89" w:rsidRDefault="002C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993F" w14:textId="77777777" w:rsidR="002C2F89" w:rsidRDefault="002C2F89">
      <w:r>
        <w:separator/>
      </w:r>
    </w:p>
  </w:footnote>
  <w:footnote w:type="continuationSeparator" w:id="0">
    <w:p w14:paraId="7DBC8592" w14:textId="77777777" w:rsidR="002C2F89" w:rsidRDefault="002C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E6C7" w14:textId="77777777" w:rsidR="00237692" w:rsidRPr="009D4EFA" w:rsidRDefault="00237692" w:rsidP="003A168E">
    <w:pPr>
      <w:autoSpaceDE w:val="0"/>
      <w:autoSpaceDN w:val="0"/>
      <w:adjustRightInd w:val="0"/>
      <w:spacing w:after="720"/>
      <w:ind w:left="720" w:firstLine="720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D9"/>
    <w:rsid w:val="00001DB6"/>
    <w:rsid w:val="0002638B"/>
    <w:rsid w:val="00041374"/>
    <w:rsid w:val="00044693"/>
    <w:rsid w:val="00057792"/>
    <w:rsid w:val="000700A6"/>
    <w:rsid w:val="0007533A"/>
    <w:rsid w:val="00084237"/>
    <w:rsid w:val="00097128"/>
    <w:rsid w:val="000F14B3"/>
    <w:rsid w:val="001234FC"/>
    <w:rsid w:val="00136802"/>
    <w:rsid w:val="00172AEB"/>
    <w:rsid w:val="001779F4"/>
    <w:rsid w:val="001A31E6"/>
    <w:rsid w:val="001E40FF"/>
    <w:rsid w:val="0022275C"/>
    <w:rsid w:val="00237692"/>
    <w:rsid w:val="0024076E"/>
    <w:rsid w:val="0026404A"/>
    <w:rsid w:val="002B496E"/>
    <w:rsid w:val="002C2F89"/>
    <w:rsid w:val="00305DAC"/>
    <w:rsid w:val="00320911"/>
    <w:rsid w:val="00323466"/>
    <w:rsid w:val="00336C3F"/>
    <w:rsid w:val="00377934"/>
    <w:rsid w:val="00380471"/>
    <w:rsid w:val="003A168E"/>
    <w:rsid w:val="003C7AA6"/>
    <w:rsid w:val="00435F97"/>
    <w:rsid w:val="00494DD0"/>
    <w:rsid w:val="004B6FDF"/>
    <w:rsid w:val="004C0253"/>
    <w:rsid w:val="004D541F"/>
    <w:rsid w:val="005A3541"/>
    <w:rsid w:val="005B1A48"/>
    <w:rsid w:val="005F261B"/>
    <w:rsid w:val="0065606C"/>
    <w:rsid w:val="0067735C"/>
    <w:rsid w:val="00685934"/>
    <w:rsid w:val="006B0A16"/>
    <w:rsid w:val="006D364D"/>
    <w:rsid w:val="006E14C2"/>
    <w:rsid w:val="006E796A"/>
    <w:rsid w:val="007450F1"/>
    <w:rsid w:val="00781E2A"/>
    <w:rsid w:val="007B1A27"/>
    <w:rsid w:val="007E7CFB"/>
    <w:rsid w:val="007F5086"/>
    <w:rsid w:val="0082699A"/>
    <w:rsid w:val="00861090"/>
    <w:rsid w:val="00867F63"/>
    <w:rsid w:val="00890EEF"/>
    <w:rsid w:val="008E3A98"/>
    <w:rsid w:val="00906726"/>
    <w:rsid w:val="00912897"/>
    <w:rsid w:val="009235DB"/>
    <w:rsid w:val="009256B6"/>
    <w:rsid w:val="0096110F"/>
    <w:rsid w:val="0096484A"/>
    <w:rsid w:val="009A1094"/>
    <w:rsid w:val="009B79DA"/>
    <w:rsid w:val="009C2ABB"/>
    <w:rsid w:val="009D332A"/>
    <w:rsid w:val="009E33AA"/>
    <w:rsid w:val="009F71E0"/>
    <w:rsid w:val="00A026F9"/>
    <w:rsid w:val="00A1355F"/>
    <w:rsid w:val="00A34384"/>
    <w:rsid w:val="00AA28F1"/>
    <w:rsid w:val="00AA7228"/>
    <w:rsid w:val="00AC3447"/>
    <w:rsid w:val="00B147E9"/>
    <w:rsid w:val="00BD1858"/>
    <w:rsid w:val="00C223B4"/>
    <w:rsid w:val="00C63CAD"/>
    <w:rsid w:val="00C8016C"/>
    <w:rsid w:val="00C82CB0"/>
    <w:rsid w:val="00C93E7D"/>
    <w:rsid w:val="00CA2EB7"/>
    <w:rsid w:val="00D8518F"/>
    <w:rsid w:val="00D96BAC"/>
    <w:rsid w:val="00DF6739"/>
    <w:rsid w:val="00E21EE9"/>
    <w:rsid w:val="00E22686"/>
    <w:rsid w:val="00E33727"/>
    <w:rsid w:val="00E65883"/>
    <w:rsid w:val="00EC5C16"/>
    <w:rsid w:val="00F27B08"/>
    <w:rsid w:val="00F41530"/>
    <w:rsid w:val="00F62ED3"/>
    <w:rsid w:val="00FD54D5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38C494B"/>
  <w15:docId w15:val="{12A87EB9-1871-45DC-AF3E-973804A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line="360" w:lineRule="auto"/>
      <w:jc w:val="center"/>
    </w:pPr>
    <w:rPr>
      <w:b/>
      <w:caps/>
      <w:sz w:val="40"/>
      <w:lang w:val="en-US"/>
    </w:rPr>
  </w:style>
  <w:style w:type="paragraph" w:styleId="Title">
    <w:name w:val="Title"/>
    <w:basedOn w:val="Normal"/>
    <w:qFormat/>
    <w:pPr>
      <w:jc w:val="center"/>
    </w:pPr>
    <w:rPr>
      <w:sz w:val="28"/>
      <w:lang w:val="it-IT"/>
    </w:rPr>
  </w:style>
  <w:style w:type="paragraph" w:styleId="BodyText">
    <w:name w:val="Body Text"/>
    <w:basedOn w:val="Normal"/>
    <w:semiHidden/>
    <w:pPr>
      <w:widowControl w:val="0"/>
      <w:spacing w:line="360" w:lineRule="auto"/>
      <w:jc w:val="center"/>
    </w:pPr>
    <w:rPr>
      <w:sz w:val="32"/>
      <w:lang w:val="en-US"/>
    </w:rPr>
  </w:style>
  <w:style w:type="paragraph" w:styleId="BodyTextIndent3">
    <w:name w:val="Body Text Indent 3"/>
    <w:basedOn w:val="Normal"/>
    <w:semiHidden/>
    <w:pPr>
      <w:widowControl w:val="0"/>
      <w:spacing w:line="360" w:lineRule="auto"/>
      <w:ind w:firstLine="720"/>
      <w:jc w:val="both"/>
    </w:pPr>
    <w:rPr>
      <w:sz w:val="24"/>
      <w:lang w:val="en-US"/>
    </w:r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</w:pPr>
    <w:rPr>
      <w:sz w:val="22"/>
      <w:lang w:val="en-US"/>
    </w:rPr>
  </w:style>
  <w:style w:type="paragraph" w:styleId="BodyText3">
    <w:name w:val="Body Text 3"/>
    <w:basedOn w:val="Normal"/>
    <w:semiHidden/>
    <w:pPr>
      <w:widowControl w:val="0"/>
      <w:jc w:val="both"/>
    </w:pPr>
    <w:rPr>
      <w:sz w:val="24"/>
      <w:lang w:val="en-US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FD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7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A0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C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79F4"/>
    <w:pPr>
      <w:spacing w:before="100" w:beforeAutospacing="1" w:after="100" w:afterAutospacing="1"/>
    </w:pPr>
    <w:rPr>
      <w:sz w:val="24"/>
      <w:szCs w:val="24"/>
      <w:lang w:val="en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OSI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Valerjan</dc:creator>
  <cp:lastModifiedBy>Rūdolfs Beļaunieks</cp:lastModifiedBy>
  <cp:revision>6</cp:revision>
  <cp:lastPrinted>2023-03-03T14:58:00Z</cp:lastPrinted>
  <dcterms:created xsi:type="dcterms:W3CDTF">2020-11-26T13:18:00Z</dcterms:created>
  <dcterms:modified xsi:type="dcterms:W3CDTF">2023-03-04T05:45:00Z</dcterms:modified>
</cp:coreProperties>
</file>