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EB5E34" w14:textId="648A57D0" w:rsidR="005C2D1F" w:rsidRDefault="005C2D1F"/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8"/>
        <w:gridCol w:w="5168"/>
      </w:tblGrid>
      <w:tr w:rsidR="003C7DE7" w:rsidRPr="0071687A" w14:paraId="00AD1282" w14:textId="77777777" w:rsidTr="005C2D1F">
        <w:trPr>
          <w:trHeight w:val="1808"/>
        </w:trPr>
        <w:tc>
          <w:tcPr>
            <w:tcW w:w="6028" w:type="dxa"/>
          </w:tcPr>
          <w:p w14:paraId="129E835D" w14:textId="11BD0578" w:rsidR="008C3C98" w:rsidRPr="0071687A" w:rsidRDefault="00367C81" w:rsidP="005C2D1F">
            <w:pPr>
              <w:spacing w:line="276" w:lineRule="auto"/>
              <w:rPr>
                <w:lang w:val="en-GB"/>
              </w:rPr>
            </w:pPr>
            <w:r>
              <w:rPr>
                <w:b/>
                <w:noProof/>
                <w:color w:val="002060"/>
                <w:sz w:val="32"/>
                <w:szCs w:val="32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714F325C" wp14:editId="66BBB577">
                  <wp:simplePos x="0" y="0"/>
                  <wp:positionH relativeFrom="margin">
                    <wp:posOffset>361315</wp:posOffset>
                  </wp:positionH>
                  <wp:positionV relativeFrom="margin">
                    <wp:posOffset>83185</wp:posOffset>
                  </wp:positionV>
                  <wp:extent cx="3074670" cy="758825"/>
                  <wp:effectExtent l="0" t="0" r="0" b="3175"/>
                  <wp:wrapSquare wrapText="bothSides"/>
                  <wp:docPr id="330304453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67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8" w:type="dxa"/>
          </w:tcPr>
          <w:p w14:paraId="471369A3" w14:textId="3AF0B618" w:rsidR="004D6D8C" w:rsidRPr="004D6D8C" w:rsidRDefault="00367C81" w:rsidP="003C7DE7">
            <w:pPr>
              <w:spacing w:line="276" w:lineRule="auto"/>
              <w:rPr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noProof/>
                <w:color w:val="808080" w:themeColor="background1" w:themeShade="80"/>
                <w:sz w:val="20"/>
                <w:szCs w:val="20"/>
                <w:lang w:val="en-GB"/>
              </w:rPr>
              <w:drawing>
                <wp:anchor distT="0" distB="0" distL="114300" distR="114300" simplePos="0" relativeHeight="251660288" behindDoc="1" locked="0" layoutInCell="1" allowOverlap="1" wp14:anchorId="54CA869D" wp14:editId="58172F44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-210820</wp:posOffset>
                  </wp:positionV>
                  <wp:extent cx="2829076" cy="1406546"/>
                  <wp:effectExtent l="0" t="0" r="0" b="0"/>
                  <wp:wrapNone/>
                  <wp:docPr id="787425876" name="Picture 1" descr="A logo with a tree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425876" name="Picture 1" descr="A logo with a tree on it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076" cy="1406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D7B0F9" w14:textId="45BAF24E" w:rsidR="00AB7D2D" w:rsidRPr="00DF5B72" w:rsidRDefault="00AB7D2D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p w14:paraId="5E476C29" w14:textId="77777777" w:rsidR="005C2D1F" w:rsidRDefault="005C2D1F" w:rsidP="005C2D1F">
      <w:pPr>
        <w:rPr>
          <w:color w:val="808080" w:themeColor="background1" w:themeShade="80"/>
          <w:sz w:val="20"/>
          <w:szCs w:val="20"/>
          <w:lang w:val="en-GB"/>
          <w14:numForm w14:val="lining"/>
        </w:rPr>
      </w:pPr>
    </w:p>
    <w:tbl>
      <w:tblPr>
        <w:tblW w:w="0" w:type="auto"/>
        <w:tblInd w:w="1623" w:type="dxa"/>
        <w:tblLook w:val="0000" w:firstRow="0" w:lastRow="0" w:firstColumn="0" w:lastColumn="0" w:noHBand="0" w:noVBand="0"/>
      </w:tblPr>
      <w:tblGrid>
        <w:gridCol w:w="8364"/>
      </w:tblGrid>
      <w:tr w:rsidR="005C2D1F" w14:paraId="4E1C24F6" w14:textId="77777777" w:rsidTr="003C2F7B">
        <w:trPr>
          <w:trHeight w:val="760"/>
        </w:trPr>
        <w:tc>
          <w:tcPr>
            <w:tcW w:w="8364" w:type="dxa"/>
          </w:tcPr>
          <w:p w14:paraId="1A9B2D0E" w14:textId="44DAB4EC" w:rsidR="005C2D1F" w:rsidRPr="00CC0D70" w:rsidRDefault="00826C3B" w:rsidP="005C2D1F">
            <w:pPr>
              <w:rPr>
                <w:color w:val="002060"/>
                <w:sz w:val="20"/>
                <w:szCs w:val="20"/>
                <w:lang w:val="en-GB"/>
                <w14:numForm w14:val="lining"/>
              </w:rPr>
            </w:pPr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Drošība demokrātijā: brīvības un kontroles līdzsvars sabiedrībā un zinātnē</w:t>
            </w:r>
            <w:r w:rsidR="002B1BA4" w:rsidRPr="00CC0D70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/ </w:t>
            </w:r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Security in Democracy: The Balance Between Freedom and Control in Society and Science</w:t>
            </w:r>
          </w:p>
        </w:tc>
      </w:tr>
      <w:tr w:rsidR="005C2D1F" w14:paraId="755FF5CA" w14:textId="77777777" w:rsidTr="003C2F7B">
        <w:trPr>
          <w:trHeight w:val="1098"/>
        </w:trPr>
        <w:tc>
          <w:tcPr>
            <w:tcW w:w="8364" w:type="dxa"/>
          </w:tcPr>
          <w:p w14:paraId="1D3A52DE" w14:textId="77777777" w:rsidR="00433012" w:rsidRDefault="00433012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  <w:p w14:paraId="33AE3B92" w14:textId="69966DD1" w:rsidR="005C2D1F" w:rsidRPr="00367C81" w:rsidRDefault="00926CFB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Otrdiena</w:t>
            </w:r>
            <w:proofErr w:type="spellEnd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="005C2D1F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202</w:t>
            </w:r>
            <w:r w:rsidR="00551BB8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6</w:t>
            </w:r>
            <w:r w:rsidR="005C2D1F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 gada </w:t>
            </w:r>
            <w:r w:rsidR="007A2DF7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 w:rsidR="00826C3B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4</w:t>
            </w:r>
            <w:r w:rsidR="005C2D1F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 </w:t>
            </w:r>
            <w:proofErr w:type="spellStart"/>
            <w:r w:rsidR="007A2DF7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aprīlī</w:t>
            </w:r>
            <w:proofErr w:type="spellEnd"/>
            <w:r w:rsidR="005C2D1F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5C2D1F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plkst</w:t>
            </w:r>
            <w:proofErr w:type="spellEnd"/>
            <w:r w:rsidR="005C2D1F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</w:t>
            </w:r>
            <w:r w:rsidR="00C154BA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="005C2D1F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 w:rsidR="00826C3B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5</w:t>
            </w:r>
            <w:r w:rsidR="005C2D1F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.00 </w:t>
            </w:r>
          </w:p>
          <w:p w14:paraId="3E301234" w14:textId="5AABE543" w:rsidR="005C2D1F" w:rsidRPr="00367C81" w:rsidRDefault="00826C3B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104.</w:t>
            </w:r>
            <w:r w:rsidR="00426BF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auditorija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4D4E53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Zinātnes</w:t>
            </w:r>
            <w:proofErr w:type="spellEnd"/>
            <w:r w:rsidR="004D4E53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="004D4E53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mājā</w:t>
            </w:r>
            <w:proofErr w:type="spellEnd"/>
            <w:r w:rsidR="004D4E53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Jelgavas</w:t>
            </w:r>
            <w:proofErr w:type="spellEnd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iel</w:t>
            </w:r>
            <w:r w:rsidR="002401CD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ā</w:t>
            </w:r>
            <w:proofErr w:type="spellEnd"/>
            <w:r w:rsidR="00C154BA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="004D4E53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3</w:t>
            </w:r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Rīga</w:t>
            </w:r>
            <w:proofErr w:type="spellEnd"/>
          </w:p>
          <w:p w14:paraId="7D798D25" w14:textId="77777777" w:rsidR="000B2C12" w:rsidRPr="00367C81" w:rsidRDefault="000B2C12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  <w:p w14:paraId="6A70AB51" w14:textId="1C5E3FA1" w:rsidR="005C2D1F" w:rsidRPr="00367C81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T</w:t>
            </w:r>
            <w:r w:rsidR="00926CFB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uesday</w:t>
            </w:r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="007A2DF7" w:rsidRPr="00826C3B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 w:rsidR="00826C3B" w:rsidRPr="00826C3B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4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="007A2DF7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April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202</w:t>
            </w:r>
            <w:r w:rsidR="00551BB8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6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, 1</w:t>
            </w:r>
            <w:r w:rsidR="00826C3B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5</w:t>
            </w:r>
            <w:r w:rsidR="00817F51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00</w:t>
            </w:r>
            <w:r w:rsidR="00CC0D70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="00870F74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</w:t>
            </w:r>
            <w:r w:rsidR="00CC0D70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.m</w:t>
            </w:r>
            <w:proofErr w:type="spellEnd"/>
          </w:p>
          <w:p w14:paraId="54916F89" w14:textId="6928F2A6" w:rsidR="005C2D1F" w:rsidRPr="00367C81" w:rsidRDefault="00826C3B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Room 104, </w:t>
            </w:r>
            <w:r w:rsidR="002B682B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House of </w:t>
            </w:r>
            <w:proofErr w:type="spellStart"/>
            <w:proofErr w:type="gramStart"/>
            <w:r w:rsidR="002B682B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Science,</w:t>
            </w:r>
            <w:r w:rsidR="00817F51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</w:t>
            </w:r>
            <w:r w:rsidR="002B682B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elgavas</w:t>
            </w:r>
            <w:proofErr w:type="spellEnd"/>
            <w:proofErr w:type="gramEnd"/>
            <w:r w:rsidR="002B682B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street 3, R</w:t>
            </w:r>
            <w:r w:rsidR="00817F51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iga</w:t>
            </w:r>
          </w:p>
          <w:p w14:paraId="55E60BCF" w14:textId="77777777" w:rsidR="005C2D1F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p w14:paraId="464C8275" w14:textId="6F18BEC6" w:rsidR="0066094D" w:rsidRPr="005C3E21" w:rsidRDefault="00C97E5D" w:rsidP="005C2D1F">
      <w:pPr>
        <w:spacing w:before="600"/>
        <w:jc w:val="center"/>
        <w:rPr>
          <w:b/>
          <w:color w:val="002060"/>
          <w:szCs w:val="44"/>
          <w:lang w:val="en-GB"/>
        </w:rPr>
      </w:pPr>
      <w:proofErr w:type="spellStart"/>
      <w:r w:rsidRPr="005C3E21">
        <w:rPr>
          <w:b/>
          <w:color w:val="002060"/>
          <w:sz w:val="32"/>
          <w:szCs w:val="32"/>
          <w:lang w:val="en-GB"/>
        </w:rPr>
        <w:t>Programma</w:t>
      </w:r>
      <w:proofErr w:type="spellEnd"/>
      <w:r w:rsidR="003C7DE7">
        <w:rPr>
          <w:b/>
          <w:color w:val="002060"/>
          <w:sz w:val="32"/>
          <w:szCs w:val="32"/>
          <w:lang w:val="en-GB"/>
        </w:rPr>
        <w:t xml:space="preserve"> </w:t>
      </w:r>
      <w:r w:rsidR="003C7DE7" w:rsidRPr="003C2F7B">
        <w:rPr>
          <w:b/>
          <w:color w:val="A6A6A6" w:themeColor="background1" w:themeShade="A6"/>
          <w:sz w:val="32"/>
          <w:szCs w:val="32"/>
          <w:lang w:val="en-GB"/>
        </w:rPr>
        <w:t xml:space="preserve">| </w:t>
      </w:r>
      <w:r w:rsidR="008523AD" w:rsidRPr="005C3E21">
        <w:rPr>
          <w:b/>
          <w:color w:val="002060"/>
          <w:sz w:val="32"/>
          <w:szCs w:val="32"/>
          <w:lang w:val="en-GB"/>
        </w:rPr>
        <w:t>Programm</w:t>
      </w:r>
      <w:r w:rsidR="00DF5B72" w:rsidRPr="005C3E21">
        <w:rPr>
          <w:b/>
          <w:color w:val="002060"/>
          <w:sz w:val="32"/>
          <w:szCs w:val="32"/>
          <w:lang w:val="en-GB"/>
        </w:rPr>
        <w:t>e</w:t>
      </w:r>
    </w:p>
    <w:p w14:paraId="00358AAA" w14:textId="77777777" w:rsidR="00945AC3" w:rsidRPr="005C3E21" w:rsidRDefault="00945AC3" w:rsidP="0008273B">
      <w:pPr>
        <w:spacing w:before="120"/>
        <w:ind w:left="3600" w:firstLine="720"/>
        <w:jc w:val="both"/>
        <w:rPr>
          <w:rFonts w:ascii="MetaPro-Bold" w:hAnsi="MetaPro-Bold"/>
          <w:b/>
          <w:color w:val="002060"/>
          <w:sz w:val="20"/>
          <w:szCs w:val="20"/>
          <w:lang w:val="en-GB"/>
        </w:rPr>
      </w:pPr>
    </w:p>
    <w:tbl>
      <w:tblPr>
        <w:tblStyle w:val="TableGrid1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59"/>
        <w:gridCol w:w="2694"/>
        <w:gridCol w:w="6804"/>
      </w:tblGrid>
      <w:tr w:rsidR="008C0634" w:rsidRPr="00FA5E8C" w14:paraId="7D8114DD" w14:textId="77777777" w:rsidTr="00A305D1">
        <w:tc>
          <w:tcPr>
            <w:tcW w:w="1559" w:type="dxa"/>
          </w:tcPr>
          <w:p w14:paraId="47B60190" w14:textId="3E9F9EA4" w:rsidR="008C0634" w:rsidRPr="00FA5E8C" w:rsidRDefault="008C0634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lang w:val="en-GB"/>
              </w:rPr>
              <w:t>1</w:t>
            </w:r>
            <w:r w:rsidR="00422E92" w:rsidRPr="00FA5E8C">
              <w:rPr>
                <w:rFonts w:ascii="Arial" w:hAnsi="Arial" w:cs="Arial"/>
                <w:b/>
                <w:color w:val="1F497D" w:themeColor="text2"/>
                <w:lang w:val="en-GB"/>
              </w:rPr>
              <w:t>5</w:t>
            </w:r>
            <w:r w:rsidRPr="00FA5E8C">
              <w:rPr>
                <w:rFonts w:ascii="Arial" w:hAnsi="Arial" w:cs="Arial"/>
                <w:b/>
                <w:color w:val="1F497D" w:themeColor="text2"/>
                <w:lang w:val="en-GB"/>
              </w:rPr>
              <w:t>.00–1</w:t>
            </w:r>
            <w:r w:rsidR="00422E92" w:rsidRPr="00FA5E8C">
              <w:rPr>
                <w:rFonts w:ascii="Arial" w:hAnsi="Arial" w:cs="Arial"/>
                <w:b/>
                <w:color w:val="1F497D" w:themeColor="text2"/>
                <w:lang w:val="en-GB"/>
              </w:rPr>
              <w:t>5</w:t>
            </w:r>
            <w:r w:rsidRPr="00FA5E8C">
              <w:rPr>
                <w:rFonts w:ascii="Arial" w:hAnsi="Arial" w:cs="Arial"/>
                <w:b/>
                <w:color w:val="1F497D" w:themeColor="text2"/>
                <w:lang w:val="en-GB"/>
              </w:rPr>
              <w:t>.0</w:t>
            </w:r>
            <w:r w:rsidR="00422E92" w:rsidRPr="00FA5E8C">
              <w:rPr>
                <w:rFonts w:ascii="Arial" w:hAnsi="Arial" w:cs="Arial"/>
                <w:b/>
                <w:color w:val="1F497D" w:themeColor="text2"/>
                <w:lang w:val="en-GB"/>
              </w:rPr>
              <w:t>5</w:t>
            </w:r>
          </w:p>
        </w:tc>
        <w:tc>
          <w:tcPr>
            <w:tcW w:w="9498" w:type="dxa"/>
            <w:gridSpan w:val="2"/>
          </w:tcPr>
          <w:p w14:paraId="6B0134F9" w14:textId="77777777" w:rsidR="008C0634" w:rsidRPr="00FA5E8C" w:rsidRDefault="005A76AC" w:rsidP="005A76AC">
            <w:pPr>
              <w:jc w:val="both"/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 w:rsidRPr="00FA5E8C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>Konferences</w:t>
            </w:r>
            <w:proofErr w:type="spellEnd"/>
            <w:r w:rsidRPr="00FA5E8C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>atklāšana</w:t>
            </w:r>
            <w:proofErr w:type="spellEnd"/>
            <w:r w:rsidRPr="00FA5E8C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 xml:space="preserve"> | O</w:t>
            </w:r>
            <w:r w:rsidR="008C0634" w:rsidRPr="00FA5E8C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 xml:space="preserve">pening speech </w:t>
            </w:r>
          </w:p>
          <w:p w14:paraId="2C66C42F" w14:textId="0737B791" w:rsidR="005A76AC" w:rsidRPr="00FA5E8C" w:rsidRDefault="005A76AC" w:rsidP="005A76AC">
            <w:pPr>
              <w:jc w:val="both"/>
              <w:rPr>
                <w:rFonts w:ascii="Arial" w:hAnsi="Arial" w:cs="Arial"/>
                <w:b/>
                <w:color w:val="1C376C"/>
                <w:lang w:val="en-GB"/>
              </w:rPr>
            </w:pPr>
          </w:p>
        </w:tc>
      </w:tr>
      <w:tr w:rsidR="00991AB3" w:rsidRPr="00FA5E8C" w14:paraId="24E07DB3" w14:textId="77777777" w:rsidTr="00A305D1">
        <w:tc>
          <w:tcPr>
            <w:tcW w:w="1559" w:type="dxa"/>
          </w:tcPr>
          <w:p w14:paraId="12D96D9A" w14:textId="77777777" w:rsidR="00991AB3" w:rsidRPr="00FA5E8C" w:rsidRDefault="00991AB3" w:rsidP="008C0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2"/>
          </w:tcPr>
          <w:p w14:paraId="7B887B73" w14:textId="22CB43F1" w:rsidR="00991AB3" w:rsidRPr="00FA5E8C" w:rsidRDefault="00991AB3" w:rsidP="004D6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 w:rsidRPr="00FA5E8C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>Sesija</w:t>
            </w:r>
            <w:proofErr w:type="spellEnd"/>
            <w:r w:rsidRPr="00FA5E8C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 xml:space="preserve"> 1</w:t>
            </w:r>
            <w:r w:rsidR="005A76AC" w:rsidRPr="00FA5E8C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 xml:space="preserve"> | Session 1</w:t>
            </w:r>
          </w:p>
          <w:p w14:paraId="35234EF5" w14:textId="77777777" w:rsidR="00991AB3" w:rsidRPr="00FA5E8C" w:rsidRDefault="00991AB3" w:rsidP="008C0634">
            <w:pPr>
              <w:jc w:val="both"/>
              <w:rPr>
                <w:rFonts w:ascii="Arial" w:hAnsi="Arial" w:cs="Arial"/>
                <w:bCs/>
                <w:color w:val="1C376C"/>
                <w:lang w:val="en-GB"/>
              </w:rPr>
            </w:pPr>
            <w:proofErr w:type="spellStart"/>
            <w:r w:rsidRPr="00FA5E8C">
              <w:rPr>
                <w:rFonts w:ascii="Arial" w:hAnsi="Arial" w:cs="Arial"/>
                <w:bCs/>
                <w:color w:val="1C376C"/>
                <w:lang w:val="en-GB"/>
              </w:rPr>
              <w:t>Vadītājs</w:t>
            </w:r>
            <w:proofErr w:type="spellEnd"/>
            <w:r w:rsidRPr="00FA5E8C">
              <w:rPr>
                <w:rFonts w:ascii="Arial" w:hAnsi="Arial" w:cs="Arial"/>
                <w:bCs/>
                <w:color w:val="1C376C"/>
                <w:lang w:val="en-GB"/>
              </w:rPr>
              <w:t xml:space="preserve"> | Chair: </w:t>
            </w:r>
            <w:r w:rsidR="00422E92" w:rsidRPr="00FA5E8C">
              <w:rPr>
                <w:rFonts w:ascii="Arial" w:hAnsi="Arial" w:cs="Arial"/>
                <w:bCs/>
                <w:color w:val="1C376C"/>
                <w:lang w:val="en-GB"/>
              </w:rPr>
              <w:t xml:space="preserve">Leila </w:t>
            </w:r>
            <w:proofErr w:type="spellStart"/>
            <w:r w:rsidR="00422E92" w:rsidRPr="00FA5E8C">
              <w:rPr>
                <w:rFonts w:ascii="Arial" w:hAnsi="Arial" w:cs="Arial"/>
                <w:bCs/>
                <w:color w:val="1C376C"/>
                <w:lang w:val="en-GB"/>
              </w:rPr>
              <w:t>Neimane</w:t>
            </w:r>
            <w:proofErr w:type="spellEnd"/>
          </w:p>
          <w:p w14:paraId="6A99AF21" w14:textId="2B2C14E0" w:rsidR="00A305D1" w:rsidRPr="00FA5E8C" w:rsidRDefault="00A305D1" w:rsidP="008C0634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</w:tc>
      </w:tr>
      <w:tr w:rsidR="008C0634" w:rsidRPr="00FA5E8C" w14:paraId="7E2C6758" w14:textId="77777777" w:rsidTr="00A305D1">
        <w:tc>
          <w:tcPr>
            <w:tcW w:w="1559" w:type="dxa"/>
          </w:tcPr>
          <w:p w14:paraId="1BE9CF52" w14:textId="445D0A22" w:rsidR="008C0634" w:rsidRPr="00FA5E8C" w:rsidRDefault="008C0634" w:rsidP="008C0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422E92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422E92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05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–1</w:t>
            </w:r>
            <w:r w:rsidR="00422E92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422E92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2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2694" w:type="dxa"/>
          </w:tcPr>
          <w:p w14:paraId="3123CE6E" w14:textId="3A78A717" w:rsidR="008C0634" w:rsidRPr="00FA5E8C" w:rsidRDefault="00422E92" w:rsidP="008C0634">
            <w:pPr>
              <w:rPr>
                <w:rFonts w:ascii="Arial" w:hAnsi="Arial" w:cs="Arial"/>
                <w:b/>
                <w:iCs/>
                <w:lang w:val="en-GB"/>
              </w:rPr>
            </w:pPr>
            <w:r w:rsidRPr="00FA5E8C">
              <w:rPr>
                <w:rFonts w:ascii="Arial" w:hAnsi="Arial" w:cs="Arial"/>
                <w:b/>
                <w:iCs/>
                <w:lang w:val="en-GB"/>
              </w:rPr>
              <w:t xml:space="preserve">Dina </w:t>
            </w:r>
            <w:proofErr w:type="spellStart"/>
            <w:r w:rsidRPr="00FA5E8C">
              <w:rPr>
                <w:rFonts w:ascii="Arial" w:hAnsi="Arial" w:cs="Arial"/>
                <w:b/>
                <w:iCs/>
                <w:lang w:val="en-GB"/>
              </w:rPr>
              <w:t>Gailīte</w:t>
            </w:r>
            <w:proofErr w:type="spellEnd"/>
          </w:p>
          <w:p w14:paraId="2552BBE8" w14:textId="41AEF8D8" w:rsidR="008C0634" w:rsidRPr="00FA5E8C" w:rsidRDefault="008C0634" w:rsidP="008C0634">
            <w:pPr>
              <w:rPr>
                <w:rFonts w:ascii="Arial" w:hAnsi="Arial" w:cs="Arial"/>
                <w:iCs/>
                <w:lang w:val="en-GB"/>
              </w:rPr>
            </w:pPr>
          </w:p>
        </w:tc>
        <w:tc>
          <w:tcPr>
            <w:tcW w:w="6804" w:type="dxa"/>
          </w:tcPr>
          <w:p w14:paraId="71FF7058" w14:textId="5AA54E00" w:rsidR="008C0634" w:rsidRPr="00FA5E8C" w:rsidRDefault="00422E92" w:rsidP="008C0634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FA5E8C">
              <w:rPr>
                <w:rFonts w:ascii="Arial" w:hAnsi="Arial" w:cs="Arial"/>
                <w:b/>
                <w:bCs/>
              </w:rPr>
              <w:t>Mediju regulējums kā vārda brīvības indikators: daži vēsturiski piemēri un topošie preses likuma grozījumi</w:t>
            </w:r>
          </w:p>
          <w:p w14:paraId="6F85E198" w14:textId="5466342B" w:rsidR="008C0634" w:rsidRPr="00FA5E8C" w:rsidRDefault="008C0634" w:rsidP="008C0634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</w:tc>
      </w:tr>
      <w:tr w:rsidR="00705116" w:rsidRPr="00FA5E8C" w14:paraId="49739523" w14:textId="77777777" w:rsidTr="00A305D1">
        <w:tc>
          <w:tcPr>
            <w:tcW w:w="1559" w:type="dxa"/>
          </w:tcPr>
          <w:p w14:paraId="0885A72A" w14:textId="7638A7AC" w:rsidR="00705116" w:rsidRPr="00FA5E8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0E5D0B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0E5D0B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20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–1</w:t>
            </w:r>
            <w:r w:rsidR="000E5D0B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0E5D0B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35</w:t>
            </w:r>
          </w:p>
        </w:tc>
        <w:tc>
          <w:tcPr>
            <w:tcW w:w="2694" w:type="dxa"/>
          </w:tcPr>
          <w:p w14:paraId="36424A9F" w14:textId="621602F3" w:rsidR="00705116" w:rsidRPr="00FA5E8C" w:rsidRDefault="000E5D0B" w:rsidP="00705116">
            <w:pPr>
              <w:rPr>
                <w:rFonts w:ascii="Arial" w:hAnsi="Arial" w:cs="Arial"/>
                <w:b/>
                <w:iCs/>
                <w:lang w:val="en-GB"/>
              </w:rPr>
            </w:pPr>
            <w:r w:rsidRPr="00FA5E8C">
              <w:rPr>
                <w:rFonts w:ascii="Arial" w:hAnsi="Arial" w:cs="Arial"/>
                <w:b/>
                <w:iCs/>
                <w:lang w:val="en-GB"/>
              </w:rPr>
              <w:t xml:space="preserve">Eva </w:t>
            </w:r>
            <w:proofErr w:type="spellStart"/>
            <w:r w:rsidRPr="00FA5E8C">
              <w:rPr>
                <w:rFonts w:ascii="Arial" w:hAnsi="Arial" w:cs="Arial"/>
                <w:b/>
                <w:iCs/>
                <w:lang w:val="en-GB"/>
              </w:rPr>
              <w:t>Gaigalniece</w:t>
            </w:r>
            <w:proofErr w:type="spellEnd"/>
          </w:p>
          <w:p w14:paraId="3823ECCC" w14:textId="76856FF6" w:rsidR="00705116" w:rsidRPr="00FA5E8C" w:rsidRDefault="00705116" w:rsidP="00705116">
            <w:pPr>
              <w:widowControl w:val="0"/>
              <w:rPr>
                <w:rFonts w:ascii="Arial" w:hAnsi="Arial" w:cs="Arial"/>
                <w:iCs/>
                <w:highlight w:val="yellow"/>
                <w:lang w:val="en-GB"/>
              </w:rPr>
            </w:pPr>
          </w:p>
        </w:tc>
        <w:tc>
          <w:tcPr>
            <w:tcW w:w="6804" w:type="dxa"/>
          </w:tcPr>
          <w:p w14:paraId="6E4603EE" w14:textId="77777777" w:rsidR="00705116" w:rsidRPr="00FA5E8C" w:rsidRDefault="000E5D0B" w:rsidP="000E5D0B">
            <w:pPr>
              <w:jc w:val="both"/>
              <w:rPr>
                <w:rFonts w:ascii="Arial" w:hAnsi="Arial" w:cs="Arial"/>
                <w:b/>
                <w:bCs/>
                <w:highlight w:val="yellow"/>
                <w:lang w:val="en-GB"/>
              </w:rPr>
            </w:pPr>
            <w:r w:rsidRPr="00FA5E8C">
              <w:rPr>
                <w:rFonts w:ascii="Arial" w:hAnsi="Arial" w:cs="Arial"/>
                <w:b/>
                <w:bCs/>
              </w:rPr>
              <w:t>Dezinformācija un politiskās radikalizācijas riski digitālajā vidē: Stambulas konvencijas publiskā diskursa analīze Latvijā</w:t>
            </w:r>
            <w:r w:rsidRPr="00FA5E8C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  <w:p w14:paraId="1A299CDD" w14:textId="1DE84D57" w:rsidR="00A305D1" w:rsidRPr="00FA5E8C" w:rsidRDefault="00A305D1" w:rsidP="000E5D0B">
            <w:pPr>
              <w:jc w:val="both"/>
              <w:rPr>
                <w:rFonts w:ascii="Arial" w:hAnsi="Arial" w:cs="Arial"/>
                <w:b/>
                <w:bCs/>
                <w:highlight w:val="yellow"/>
                <w:lang w:val="en-GB"/>
              </w:rPr>
            </w:pPr>
          </w:p>
        </w:tc>
      </w:tr>
      <w:tr w:rsidR="00705116" w:rsidRPr="00FA5E8C" w14:paraId="6D2E40AE" w14:textId="77777777" w:rsidTr="00A305D1">
        <w:tc>
          <w:tcPr>
            <w:tcW w:w="1559" w:type="dxa"/>
          </w:tcPr>
          <w:p w14:paraId="722D4B29" w14:textId="4AA607B9" w:rsidR="00705116" w:rsidRPr="00FA5E8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0E5D0B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0E5D0B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3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5–1</w:t>
            </w:r>
            <w:r w:rsidR="00F17FF4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F17FF4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50</w:t>
            </w:r>
          </w:p>
        </w:tc>
        <w:tc>
          <w:tcPr>
            <w:tcW w:w="2694" w:type="dxa"/>
          </w:tcPr>
          <w:p w14:paraId="2B98D58B" w14:textId="45FF3DA4" w:rsidR="00705116" w:rsidRPr="00FA5E8C" w:rsidRDefault="00F17FF4" w:rsidP="00705116">
            <w:pPr>
              <w:rPr>
                <w:rFonts w:ascii="Arial" w:hAnsi="Arial" w:cs="Arial"/>
                <w:b/>
                <w:iCs/>
                <w:lang w:val="en-GB"/>
              </w:rPr>
            </w:pPr>
            <w:r w:rsidRPr="00FA5E8C">
              <w:rPr>
                <w:rFonts w:ascii="Arial" w:hAnsi="Arial" w:cs="Arial"/>
                <w:b/>
                <w:iCs/>
                <w:lang w:val="en-GB"/>
              </w:rPr>
              <w:t xml:space="preserve">Ilze </w:t>
            </w:r>
            <w:proofErr w:type="spellStart"/>
            <w:r w:rsidRPr="00FA5E8C">
              <w:rPr>
                <w:rFonts w:ascii="Arial" w:hAnsi="Arial" w:cs="Arial"/>
                <w:b/>
                <w:iCs/>
                <w:lang w:val="en-GB"/>
              </w:rPr>
              <w:t>Bērziņa</w:t>
            </w:r>
            <w:proofErr w:type="spellEnd"/>
          </w:p>
          <w:p w14:paraId="5069C7BF" w14:textId="5E831B20" w:rsidR="00705116" w:rsidRPr="00FA5E8C" w:rsidRDefault="00705116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804" w:type="dxa"/>
          </w:tcPr>
          <w:p w14:paraId="7305F346" w14:textId="77777777" w:rsidR="00705116" w:rsidRPr="00FA5E8C" w:rsidRDefault="00F17FF4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  <w:r w:rsidRPr="00FA5E8C">
              <w:rPr>
                <w:rFonts w:ascii="Arial" w:hAnsi="Arial" w:cs="Arial"/>
                <w:b/>
                <w:bCs/>
              </w:rPr>
              <w:t>Cilvēktiesības un dezinformācija – mūsdienu tiesiskie izaicinājumi Latvijā</w:t>
            </w:r>
            <w:r w:rsidRPr="00FA5E8C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  <w:p w14:paraId="56148B3B" w14:textId="6BA8DDB7" w:rsidR="00A305D1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705116" w:rsidRPr="00FA5E8C" w14:paraId="64ED9A98" w14:textId="77777777" w:rsidTr="00A305D1">
        <w:tc>
          <w:tcPr>
            <w:tcW w:w="1559" w:type="dxa"/>
          </w:tcPr>
          <w:p w14:paraId="227442C8" w14:textId="6D6020D1" w:rsidR="00705116" w:rsidRPr="00FA5E8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F17FF4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F17FF4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50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–1</w:t>
            </w:r>
            <w:r w:rsidR="00F17FF4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6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F17FF4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05</w:t>
            </w:r>
          </w:p>
        </w:tc>
        <w:tc>
          <w:tcPr>
            <w:tcW w:w="2694" w:type="dxa"/>
          </w:tcPr>
          <w:p w14:paraId="6132B7F7" w14:textId="1A072874" w:rsidR="00705116" w:rsidRPr="00FA5E8C" w:rsidRDefault="00F17FF4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r w:rsidRPr="00FA5E8C">
              <w:rPr>
                <w:rFonts w:ascii="Arial" w:hAnsi="Arial" w:cs="Arial"/>
                <w:b/>
                <w:iCs/>
                <w:lang w:val="en-GB"/>
              </w:rPr>
              <w:t xml:space="preserve">Ieva </w:t>
            </w:r>
            <w:proofErr w:type="spellStart"/>
            <w:r w:rsidRPr="00FA5E8C">
              <w:rPr>
                <w:rFonts w:ascii="Arial" w:hAnsi="Arial" w:cs="Arial"/>
                <w:b/>
                <w:iCs/>
                <w:lang w:val="en-GB"/>
              </w:rPr>
              <w:t>Miļūna</w:t>
            </w:r>
            <w:proofErr w:type="spellEnd"/>
          </w:p>
        </w:tc>
        <w:tc>
          <w:tcPr>
            <w:tcW w:w="6804" w:type="dxa"/>
          </w:tcPr>
          <w:p w14:paraId="33FAEE11" w14:textId="77777777" w:rsidR="00705116" w:rsidRPr="00FA5E8C" w:rsidRDefault="00F17FF4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  <w:r w:rsidRPr="00FA5E8C">
              <w:rPr>
                <w:rFonts w:ascii="Arial" w:hAnsi="Arial" w:cs="Arial"/>
                <w:b/>
                <w:bCs/>
              </w:rPr>
              <w:t>ANO Drošības padomes un ANO Ģenerālās asamblejas mijiedarbība</w:t>
            </w:r>
            <w:r w:rsidRPr="00FA5E8C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  <w:p w14:paraId="2E14898C" w14:textId="3FDE5F56" w:rsidR="00A305D1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705116" w:rsidRPr="00FA5E8C" w14:paraId="2901D688" w14:textId="77777777" w:rsidTr="00A305D1">
        <w:tc>
          <w:tcPr>
            <w:tcW w:w="1559" w:type="dxa"/>
          </w:tcPr>
          <w:p w14:paraId="0A50B827" w14:textId="58921370" w:rsidR="00705116" w:rsidRPr="00FA5E8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6D1ED4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6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6D1ED4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5–1</w:t>
            </w:r>
            <w:r w:rsidR="006D1ED4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6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6D1ED4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2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9498" w:type="dxa"/>
            <w:gridSpan w:val="2"/>
          </w:tcPr>
          <w:p w14:paraId="55B5581B" w14:textId="69061A0C" w:rsidR="00705116" w:rsidRPr="00FA5E8C" w:rsidRDefault="006D1ED4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FA5E8C">
              <w:rPr>
                <w:rFonts w:ascii="Arial" w:hAnsi="Arial" w:cs="Arial"/>
                <w:b/>
                <w:lang w:val="en-GB"/>
              </w:rPr>
              <w:t>Jautājumi</w:t>
            </w:r>
            <w:proofErr w:type="spellEnd"/>
            <w:r w:rsidRPr="00FA5E8C">
              <w:rPr>
                <w:rFonts w:ascii="Arial" w:hAnsi="Arial" w:cs="Arial"/>
                <w:b/>
                <w:lang w:val="en-GB"/>
              </w:rPr>
              <w:t xml:space="preserve"> un</w:t>
            </w:r>
            <w:r w:rsidR="00705116" w:rsidRPr="00FA5E8C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="00705116" w:rsidRPr="00FA5E8C">
              <w:rPr>
                <w:rFonts w:ascii="Arial" w:hAnsi="Arial" w:cs="Arial"/>
                <w:b/>
                <w:lang w:val="en-GB"/>
              </w:rPr>
              <w:t>diskusijas</w:t>
            </w:r>
            <w:proofErr w:type="spellEnd"/>
            <w:r w:rsidR="00705116" w:rsidRPr="00FA5E8C">
              <w:rPr>
                <w:rFonts w:ascii="Arial" w:hAnsi="Arial" w:cs="Arial"/>
                <w:b/>
                <w:lang w:val="en-GB"/>
              </w:rPr>
              <w:t xml:space="preserve">/ </w:t>
            </w:r>
            <w:r w:rsidR="008619DF" w:rsidRPr="00FA5E8C">
              <w:rPr>
                <w:rFonts w:ascii="Arial" w:hAnsi="Arial" w:cs="Arial"/>
                <w:b/>
                <w:lang w:val="lv"/>
              </w:rPr>
              <w:t xml:space="preserve">Questions </w:t>
            </w:r>
            <w:r w:rsidR="008619DF" w:rsidRPr="00FA5E8C">
              <w:rPr>
                <w:rFonts w:ascii="Arial" w:hAnsi="Arial" w:cs="Arial"/>
                <w:b/>
              </w:rPr>
              <w:t xml:space="preserve">and </w:t>
            </w:r>
            <w:r w:rsidR="00705116" w:rsidRPr="00FA5E8C">
              <w:rPr>
                <w:rFonts w:ascii="Arial" w:hAnsi="Arial" w:cs="Arial"/>
                <w:b/>
                <w:lang w:val="en-GB"/>
              </w:rPr>
              <w:t>discussions</w:t>
            </w:r>
          </w:p>
        </w:tc>
      </w:tr>
      <w:tr w:rsidR="008619DF" w:rsidRPr="00FA5E8C" w14:paraId="1F96895F" w14:textId="77777777" w:rsidTr="00A305D1">
        <w:tc>
          <w:tcPr>
            <w:tcW w:w="1559" w:type="dxa"/>
          </w:tcPr>
          <w:p w14:paraId="3131C7B0" w14:textId="7AC4D911" w:rsidR="008619DF" w:rsidRPr="00FA5E8C" w:rsidRDefault="008619DF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16.20–17.00</w:t>
            </w:r>
          </w:p>
        </w:tc>
        <w:tc>
          <w:tcPr>
            <w:tcW w:w="9498" w:type="dxa"/>
            <w:gridSpan w:val="2"/>
          </w:tcPr>
          <w:p w14:paraId="5DC66827" w14:textId="39818DFA" w:rsidR="008619DF" w:rsidRPr="00FA5E8C" w:rsidRDefault="008619DF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FA5E8C">
              <w:rPr>
                <w:rFonts w:ascii="Arial" w:hAnsi="Arial" w:cs="Arial"/>
                <w:b/>
                <w:lang w:val="en-GB"/>
              </w:rPr>
              <w:t>Kafijas</w:t>
            </w:r>
            <w:proofErr w:type="spellEnd"/>
            <w:r w:rsidRPr="00FA5E8C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lang w:val="en-GB"/>
              </w:rPr>
              <w:t>pauze</w:t>
            </w:r>
            <w:proofErr w:type="spellEnd"/>
            <w:r w:rsidRPr="00FA5E8C">
              <w:rPr>
                <w:rFonts w:ascii="Arial" w:hAnsi="Arial" w:cs="Arial"/>
                <w:b/>
                <w:lang w:val="en-GB"/>
              </w:rPr>
              <w:t>, Coffee break</w:t>
            </w:r>
          </w:p>
        </w:tc>
      </w:tr>
      <w:tr w:rsidR="00705116" w:rsidRPr="00FA5E8C" w14:paraId="19A7D699" w14:textId="77777777" w:rsidTr="00A305D1">
        <w:tc>
          <w:tcPr>
            <w:tcW w:w="11057" w:type="dxa"/>
            <w:gridSpan w:val="3"/>
          </w:tcPr>
          <w:p w14:paraId="468FE743" w14:textId="0D7EAE78" w:rsidR="00705116" w:rsidRPr="00FA5E8C" w:rsidRDefault="00705116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C73942" w:rsidRPr="00FA5E8C" w14:paraId="073EA4FF" w14:textId="77777777" w:rsidTr="00A305D1">
        <w:tc>
          <w:tcPr>
            <w:tcW w:w="1559" w:type="dxa"/>
          </w:tcPr>
          <w:p w14:paraId="4FA00CCB" w14:textId="77777777" w:rsidR="00C73942" w:rsidRPr="00FA5E8C" w:rsidRDefault="00C73942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2"/>
          </w:tcPr>
          <w:p w14:paraId="0B68560E" w14:textId="752561C0" w:rsidR="00C73942" w:rsidRPr="00FA5E8C" w:rsidRDefault="00C73942" w:rsidP="00C73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 w:rsidRPr="00FA5E8C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>Sesija</w:t>
            </w:r>
            <w:proofErr w:type="spellEnd"/>
            <w:r w:rsidRPr="00FA5E8C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 xml:space="preserve"> 2 | Session 2</w:t>
            </w:r>
          </w:p>
          <w:p w14:paraId="5419FCAC" w14:textId="77777777" w:rsidR="00C73942" w:rsidRPr="00FA5E8C" w:rsidRDefault="00C73942" w:rsidP="00C73942">
            <w:pPr>
              <w:widowControl w:val="0"/>
              <w:rPr>
                <w:rFonts w:ascii="Arial" w:hAnsi="Arial" w:cs="Arial"/>
                <w:bCs/>
                <w:color w:val="1C376C"/>
                <w:lang w:val="en-GB"/>
              </w:rPr>
            </w:pPr>
            <w:proofErr w:type="spellStart"/>
            <w:r w:rsidRPr="00FA5E8C">
              <w:rPr>
                <w:rFonts w:ascii="Arial" w:hAnsi="Arial" w:cs="Arial"/>
                <w:bCs/>
                <w:color w:val="1C376C"/>
                <w:lang w:val="en-GB"/>
              </w:rPr>
              <w:t>Vadītājs</w:t>
            </w:r>
            <w:proofErr w:type="spellEnd"/>
            <w:r w:rsidRPr="00FA5E8C">
              <w:rPr>
                <w:rFonts w:ascii="Arial" w:hAnsi="Arial" w:cs="Arial"/>
                <w:bCs/>
                <w:color w:val="1C376C"/>
                <w:lang w:val="en-GB"/>
              </w:rPr>
              <w:t xml:space="preserve"> | Chair: Leila </w:t>
            </w:r>
            <w:proofErr w:type="spellStart"/>
            <w:r w:rsidRPr="00FA5E8C">
              <w:rPr>
                <w:rFonts w:ascii="Arial" w:hAnsi="Arial" w:cs="Arial"/>
                <w:bCs/>
                <w:color w:val="1C376C"/>
                <w:lang w:val="en-GB"/>
              </w:rPr>
              <w:t>Neimane</w:t>
            </w:r>
            <w:proofErr w:type="spellEnd"/>
          </w:p>
          <w:p w14:paraId="07B00864" w14:textId="3CBA156D" w:rsidR="00A305D1" w:rsidRPr="00FA5E8C" w:rsidRDefault="00A305D1" w:rsidP="00C73942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705116" w:rsidRPr="00FA5E8C" w14:paraId="58AF4A33" w14:textId="77777777" w:rsidTr="00A305D1">
        <w:tc>
          <w:tcPr>
            <w:tcW w:w="1559" w:type="dxa"/>
          </w:tcPr>
          <w:p w14:paraId="56E07C94" w14:textId="753969A0" w:rsidR="00705116" w:rsidRPr="00FA5E8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A305D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7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.00–1</w:t>
            </w:r>
            <w:r w:rsidR="00A305D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7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A305D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15</w:t>
            </w:r>
          </w:p>
        </w:tc>
        <w:tc>
          <w:tcPr>
            <w:tcW w:w="2694" w:type="dxa"/>
          </w:tcPr>
          <w:p w14:paraId="7D18212A" w14:textId="36A89F99" w:rsidR="00705116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  <w:r w:rsidRPr="00FA5E8C">
              <w:rPr>
                <w:rFonts w:ascii="Arial" w:hAnsi="Arial" w:cs="Arial"/>
                <w:b/>
                <w:bCs/>
              </w:rPr>
              <w:t>Guntis Skunstiņš</w:t>
            </w:r>
            <w:r w:rsidRPr="00FA5E8C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6804" w:type="dxa"/>
          </w:tcPr>
          <w:p w14:paraId="547A49A1" w14:textId="77777777" w:rsidR="00705116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FA5E8C">
              <w:rPr>
                <w:rFonts w:ascii="Arial" w:hAnsi="Arial" w:cs="Arial"/>
                <w:b/>
                <w:bCs/>
              </w:rPr>
              <w:t>The Changing Face of the Latvian Defense Industry</w:t>
            </w:r>
          </w:p>
          <w:p w14:paraId="73A33EDB" w14:textId="7311FE60" w:rsidR="00A305D1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705116" w:rsidRPr="00FA5E8C" w14:paraId="53B0B425" w14:textId="77777777" w:rsidTr="00A305D1">
        <w:tc>
          <w:tcPr>
            <w:tcW w:w="1559" w:type="dxa"/>
          </w:tcPr>
          <w:p w14:paraId="57BE5D12" w14:textId="2CB37590" w:rsidR="00705116" w:rsidRPr="00FA5E8C" w:rsidRDefault="00A305D1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17</w:t>
            </w:r>
            <w:r w:rsidR="00705116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15</w:t>
            </w:r>
            <w:r w:rsidR="00705116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–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17</w:t>
            </w:r>
            <w:r w:rsidR="00705116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3</w:t>
            </w:r>
            <w:r w:rsidR="00705116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2694" w:type="dxa"/>
          </w:tcPr>
          <w:p w14:paraId="0F7B697E" w14:textId="2908A235" w:rsidR="00705116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  <w:r w:rsidRPr="00FA5E8C">
              <w:rPr>
                <w:rFonts w:ascii="Arial" w:hAnsi="Arial" w:cs="Arial"/>
                <w:b/>
                <w:bCs/>
              </w:rPr>
              <w:t>Lita Juberte-Krūmiņa</w:t>
            </w:r>
          </w:p>
        </w:tc>
        <w:tc>
          <w:tcPr>
            <w:tcW w:w="6804" w:type="dxa"/>
          </w:tcPr>
          <w:p w14:paraId="11AF38B0" w14:textId="77777777" w:rsidR="00705116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FA5E8C">
              <w:rPr>
                <w:rFonts w:ascii="Arial" w:hAnsi="Arial" w:cs="Arial"/>
                <w:b/>
                <w:bCs/>
              </w:rPr>
              <w:t>Rethinking the Soft Side of Security and Defence: The Role of the Private Sector within Psychological Resilience Strengthening</w:t>
            </w:r>
          </w:p>
          <w:p w14:paraId="42A1C934" w14:textId="4EDAD809" w:rsidR="00A305D1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705116" w:rsidRPr="00FA5E8C" w14:paraId="3C2EBF45" w14:textId="77777777" w:rsidTr="00A305D1">
        <w:tc>
          <w:tcPr>
            <w:tcW w:w="1559" w:type="dxa"/>
          </w:tcPr>
          <w:p w14:paraId="3CFBCAA1" w14:textId="528820FC" w:rsidR="00705116" w:rsidRPr="00FA5E8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A305D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7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A305D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3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0–1</w:t>
            </w:r>
            <w:r w:rsidR="00A305D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7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A305D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45</w:t>
            </w:r>
          </w:p>
        </w:tc>
        <w:tc>
          <w:tcPr>
            <w:tcW w:w="2694" w:type="dxa"/>
          </w:tcPr>
          <w:p w14:paraId="22995E81" w14:textId="65C303FE" w:rsidR="00705116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  <w:r w:rsidRPr="00FA5E8C">
              <w:rPr>
                <w:rFonts w:ascii="Arial" w:hAnsi="Arial" w:cs="Arial"/>
                <w:b/>
                <w:bCs/>
              </w:rPr>
              <w:t>Hanna Palii</w:t>
            </w:r>
          </w:p>
        </w:tc>
        <w:tc>
          <w:tcPr>
            <w:tcW w:w="6804" w:type="dxa"/>
          </w:tcPr>
          <w:p w14:paraId="0DD21E2E" w14:textId="77777777" w:rsidR="00705116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FA5E8C">
              <w:rPr>
                <w:rFonts w:ascii="Arial" w:hAnsi="Arial" w:cs="Arial"/>
                <w:b/>
                <w:bCs/>
              </w:rPr>
              <w:t xml:space="preserve">Countering Propaganda and Disinformation in Times of War: </w:t>
            </w:r>
            <w:r w:rsidRPr="00FA5E8C">
              <w:rPr>
                <w:rFonts w:ascii="Arial" w:hAnsi="Arial" w:cs="Arial"/>
                <w:b/>
                <w:bCs/>
              </w:rPr>
              <w:lastRenderedPageBreak/>
              <w:t>The Case of NGOs and Professional Organizations in Ukraine</w:t>
            </w:r>
          </w:p>
          <w:p w14:paraId="3E0E0DA8" w14:textId="6019C4F4" w:rsidR="00A305D1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705116" w:rsidRPr="00FA5E8C" w14:paraId="127DF3CA" w14:textId="77777777" w:rsidTr="00A305D1">
        <w:tc>
          <w:tcPr>
            <w:tcW w:w="1559" w:type="dxa"/>
          </w:tcPr>
          <w:p w14:paraId="686CA0B7" w14:textId="7A3C4934" w:rsidR="00705116" w:rsidRPr="00FA5E8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lastRenderedPageBreak/>
              <w:t>1</w:t>
            </w:r>
            <w:r w:rsidR="00A305D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7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A305D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45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–1</w:t>
            </w:r>
            <w:r w:rsidR="00A305D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8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A305D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2694" w:type="dxa"/>
          </w:tcPr>
          <w:p w14:paraId="2A714654" w14:textId="77777777" w:rsidR="00705116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FA5E8C">
              <w:rPr>
                <w:rFonts w:ascii="Arial" w:hAnsi="Arial" w:cs="Arial"/>
                <w:b/>
                <w:bCs/>
              </w:rPr>
              <w:t>Oskars Galanders</w:t>
            </w:r>
          </w:p>
          <w:p w14:paraId="0767B156" w14:textId="38A0318B" w:rsidR="00A305D1" w:rsidRPr="00FA5E8C" w:rsidRDefault="00A305D1" w:rsidP="00705116">
            <w:pPr>
              <w:widowControl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6804" w:type="dxa"/>
          </w:tcPr>
          <w:p w14:paraId="21E88424" w14:textId="77777777" w:rsidR="00705116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  <w:r w:rsidRPr="00FA5E8C">
              <w:rPr>
                <w:rFonts w:ascii="Arial" w:hAnsi="Arial" w:cs="Arial"/>
                <w:b/>
                <w:bCs/>
              </w:rPr>
              <w:t>From Securitisation to Consent: Re-Imagining Public Safety and Security in Democratic Societies</w:t>
            </w:r>
            <w:r w:rsidRPr="00FA5E8C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  <w:p w14:paraId="2EEB4334" w14:textId="60451256" w:rsidR="00A305D1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705116" w:rsidRPr="00FA5E8C" w14:paraId="00D508C3" w14:textId="77777777" w:rsidTr="00A305D1">
        <w:tc>
          <w:tcPr>
            <w:tcW w:w="1559" w:type="dxa"/>
          </w:tcPr>
          <w:p w14:paraId="04FE5451" w14:textId="46E4BF1E" w:rsidR="00705116" w:rsidRPr="00FA5E8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1868A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8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1868A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00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–</w:t>
            </w:r>
            <w:r w:rsidR="001868A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18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1868A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2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9498" w:type="dxa"/>
            <w:gridSpan w:val="2"/>
          </w:tcPr>
          <w:p w14:paraId="2BF5694A" w14:textId="511F78D7" w:rsidR="00705116" w:rsidRPr="00FA5E8C" w:rsidRDefault="00E16C1F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FA5E8C">
              <w:rPr>
                <w:rFonts w:ascii="Arial" w:hAnsi="Arial" w:cs="Arial"/>
                <w:b/>
                <w:lang w:val="en-GB"/>
              </w:rPr>
              <w:t>Jautājumi</w:t>
            </w:r>
            <w:proofErr w:type="spellEnd"/>
            <w:r w:rsidRPr="00FA5E8C">
              <w:rPr>
                <w:rFonts w:ascii="Arial" w:hAnsi="Arial" w:cs="Arial"/>
                <w:b/>
                <w:lang w:val="en-GB"/>
              </w:rPr>
              <w:t xml:space="preserve"> un </w:t>
            </w:r>
            <w:proofErr w:type="spellStart"/>
            <w:r w:rsidRPr="00FA5E8C">
              <w:rPr>
                <w:rFonts w:ascii="Arial" w:hAnsi="Arial" w:cs="Arial"/>
                <w:b/>
                <w:lang w:val="en-GB"/>
              </w:rPr>
              <w:t>diskusijas</w:t>
            </w:r>
            <w:proofErr w:type="spellEnd"/>
            <w:r w:rsidRPr="00FA5E8C">
              <w:rPr>
                <w:rFonts w:ascii="Arial" w:hAnsi="Arial" w:cs="Arial"/>
                <w:b/>
                <w:lang w:val="en-GB"/>
              </w:rPr>
              <w:t xml:space="preserve">/ </w:t>
            </w:r>
            <w:r w:rsidRPr="00FA5E8C">
              <w:rPr>
                <w:rFonts w:ascii="Arial" w:hAnsi="Arial" w:cs="Arial"/>
                <w:b/>
                <w:lang w:val="lv"/>
              </w:rPr>
              <w:t xml:space="preserve">Questions </w:t>
            </w:r>
            <w:r w:rsidRPr="00FA5E8C">
              <w:rPr>
                <w:rFonts w:ascii="Arial" w:hAnsi="Arial" w:cs="Arial"/>
                <w:b/>
              </w:rPr>
              <w:t xml:space="preserve">and </w:t>
            </w:r>
            <w:r w:rsidRPr="00FA5E8C">
              <w:rPr>
                <w:rFonts w:ascii="Arial" w:hAnsi="Arial" w:cs="Arial"/>
                <w:b/>
                <w:lang w:val="en-GB"/>
              </w:rPr>
              <w:t>discussions</w:t>
            </w:r>
          </w:p>
        </w:tc>
      </w:tr>
      <w:tr w:rsidR="00705116" w:rsidRPr="00FA5E8C" w14:paraId="7017D449" w14:textId="77777777" w:rsidTr="00A305D1">
        <w:trPr>
          <w:trHeight w:val="16"/>
        </w:trPr>
        <w:tc>
          <w:tcPr>
            <w:tcW w:w="1559" w:type="dxa"/>
          </w:tcPr>
          <w:p w14:paraId="2D7530F9" w14:textId="77777777" w:rsidR="00705116" w:rsidRPr="00FA5E8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2"/>
          </w:tcPr>
          <w:p w14:paraId="03E4803A" w14:textId="77777777" w:rsidR="00705116" w:rsidRPr="00FA5E8C" w:rsidRDefault="00705116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705116" w:rsidRPr="00FA5E8C" w14:paraId="2ADE9CE0" w14:textId="77777777" w:rsidTr="00A305D1">
        <w:tc>
          <w:tcPr>
            <w:tcW w:w="1559" w:type="dxa"/>
          </w:tcPr>
          <w:p w14:paraId="586EB541" w14:textId="767F517E" w:rsidR="00705116" w:rsidRPr="00FA5E8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E16C1F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8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E16C1F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2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0–1</w:t>
            </w:r>
            <w:r w:rsidR="00E16C1F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8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E16C1F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30</w:t>
            </w:r>
          </w:p>
        </w:tc>
        <w:tc>
          <w:tcPr>
            <w:tcW w:w="9498" w:type="dxa"/>
            <w:gridSpan w:val="2"/>
          </w:tcPr>
          <w:p w14:paraId="2A2C75FA" w14:textId="73313FD3" w:rsidR="00705116" w:rsidRPr="00FA5E8C" w:rsidRDefault="00705116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FA5E8C">
              <w:rPr>
                <w:rFonts w:ascii="Arial" w:hAnsi="Arial" w:cs="Arial"/>
                <w:b/>
                <w:lang w:val="en-GB"/>
              </w:rPr>
              <w:t>Noslēgums</w:t>
            </w:r>
            <w:proofErr w:type="spellEnd"/>
          </w:p>
          <w:p w14:paraId="06B6B8DD" w14:textId="4E4B9474" w:rsidR="00705116" w:rsidRPr="00FA5E8C" w:rsidRDefault="00705116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r w:rsidRPr="00FA5E8C">
              <w:rPr>
                <w:rFonts w:ascii="Arial" w:hAnsi="Arial" w:cs="Arial"/>
                <w:b/>
                <w:lang w:val="en-GB"/>
              </w:rPr>
              <w:t>Conclusions</w:t>
            </w:r>
          </w:p>
        </w:tc>
      </w:tr>
    </w:tbl>
    <w:p w14:paraId="393505C2" w14:textId="77777777" w:rsidR="004462CD" w:rsidRPr="0071687A" w:rsidRDefault="004462CD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422AA8C9" w14:textId="77777777" w:rsidR="0055093F" w:rsidRPr="0071687A" w:rsidRDefault="0055093F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sectPr w:rsidR="0055093F" w:rsidRPr="0071687A" w:rsidSect="00400A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0" w:right="425" w:bottom="567" w:left="425" w:header="42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C8D75" w14:textId="77777777" w:rsidR="001A51F2" w:rsidRDefault="001A51F2" w:rsidP="001E409B">
      <w:pPr>
        <w:spacing w:line="240" w:lineRule="auto"/>
      </w:pPr>
      <w:r>
        <w:separator/>
      </w:r>
    </w:p>
  </w:endnote>
  <w:endnote w:type="continuationSeparator" w:id="0">
    <w:p w14:paraId="70A879FE" w14:textId="77777777" w:rsidR="001A51F2" w:rsidRDefault="001A51F2" w:rsidP="001E4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etaPro-Bold">
    <w:altName w:val="Corbel"/>
    <w:panose1 w:val="00000000000000000000"/>
    <w:charset w:val="00"/>
    <w:family w:val="auto"/>
    <w:notTrueType/>
    <w:pitch w:val="variable"/>
    <w:sig w:usb0="800002AF" w:usb1="4000606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C0F5" w14:textId="77777777" w:rsidR="005C2D1F" w:rsidRDefault="005C2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D98B" w14:textId="77777777" w:rsidR="005C2D1F" w:rsidRDefault="005C2D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8A2A" w14:textId="77777777" w:rsidR="005C2D1F" w:rsidRDefault="005C2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CFB4" w14:textId="77777777" w:rsidR="001A51F2" w:rsidRDefault="001A51F2" w:rsidP="001E409B">
      <w:pPr>
        <w:spacing w:line="240" w:lineRule="auto"/>
      </w:pPr>
      <w:r>
        <w:separator/>
      </w:r>
    </w:p>
  </w:footnote>
  <w:footnote w:type="continuationSeparator" w:id="0">
    <w:p w14:paraId="124CBF63" w14:textId="77777777" w:rsidR="001A51F2" w:rsidRDefault="001A51F2" w:rsidP="001E40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5FCC" w14:textId="77777777" w:rsidR="00A24FC6" w:rsidRDefault="00A24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D731" w14:textId="7DDF7EA9" w:rsidR="00A24FC6" w:rsidRDefault="005A76AC">
    <w:pPr>
      <w:pStyle w:val="Header"/>
    </w:pPr>
    <w:r w:rsidRPr="00FB4820">
      <w:rPr>
        <w:noProof/>
        <w:sz w:val="32"/>
        <w:szCs w:val="32"/>
        <w:lang w:val="lv-LV"/>
      </w:rPr>
      <w:drawing>
        <wp:anchor distT="0" distB="0" distL="114300" distR="114300" simplePos="0" relativeHeight="251660288" behindDoc="1" locked="0" layoutInCell="1" allowOverlap="1" wp14:anchorId="020B1E2C" wp14:editId="21A1F2C1">
          <wp:simplePos x="0" y="0"/>
          <wp:positionH relativeFrom="column">
            <wp:posOffset>3691931</wp:posOffset>
          </wp:positionH>
          <wp:positionV relativeFrom="paragraph">
            <wp:posOffset>-273009</wp:posOffset>
          </wp:positionV>
          <wp:extent cx="3596582" cy="11382918"/>
          <wp:effectExtent l="0" t="0" r="0" b="0"/>
          <wp:wrapNone/>
          <wp:docPr id="1830778551" name="Picture 2" descr="A black background with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778551" name="Picture 2" descr="A black background with circ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582" cy="11382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C04C" w14:textId="77777777" w:rsidR="00A24FC6" w:rsidRDefault="00A24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E069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432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4D"/>
    <w:rsid w:val="00022C3A"/>
    <w:rsid w:val="00061C0C"/>
    <w:rsid w:val="00061E2E"/>
    <w:rsid w:val="000711BF"/>
    <w:rsid w:val="00071D1F"/>
    <w:rsid w:val="00074EE7"/>
    <w:rsid w:val="0008273B"/>
    <w:rsid w:val="000949D5"/>
    <w:rsid w:val="000A6F28"/>
    <w:rsid w:val="000B2C12"/>
    <w:rsid w:val="000D136E"/>
    <w:rsid w:val="000D58CE"/>
    <w:rsid w:val="000D7977"/>
    <w:rsid w:val="000E5D0B"/>
    <w:rsid w:val="001055FE"/>
    <w:rsid w:val="0014579B"/>
    <w:rsid w:val="00172951"/>
    <w:rsid w:val="00176785"/>
    <w:rsid w:val="00180444"/>
    <w:rsid w:val="001868A1"/>
    <w:rsid w:val="001A0C20"/>
    <w:rsid w:val="001A2156"/>
    <w:rsid w:val="001A51F2"/>
    <w:rsid w:val="001C29A5"/>
    <w:rsid w:val="001C7CBC"/>
    <w:rsid w:val="001D2EAF"/>
    <w:rsid w:val="001E09DD"/>
    <w:rsid w:val="001E2424"/>
    <w:rsid w:val="001E409B"/>
    <w:rsid w:val="001E608E"/>
    <w:rsid w:val="00204C42"/>
    <w:rsid w:val="0021237C"/>
    <w:rsid w:val="0021373D"/>
    <w:rsid w:val="00217219"/>
    <w:rsid w:val="002178AA"/>
    <w:rsid w:val="00224669"/>
    <w:rsid w:val="002401CD"/>
    <w:rsid w:val="002404B4"/>
    <w:rsid w:val="002409E7"/>
    <w:rsid w:val="00255BE3"/>
    <w:rsid w:val="00292502"/>
    <w:rsid w:val="002B1BA4"/>
    <w:rsid w:val="002B682B"/>
    <w:rsid w:val="002B6B2E"/>
    <w:rsid w:val="002C1ED0"/>
    <w:rsid w:val="002D1749"/>
    <w:rsid w:val="002D1A29"/>
    <w:rsid w:val="002F436E"/>
    <w:rsid w:val="00300EDE"/>
    <w:rsid w:val="00304EB1"/>
    <w:rsid w:val="00305282"/>
    <w:rsid w:val="00306965"/>
    <w:rsid w:val="00322C22"/>
    <w:rsid w:val="00326861"/>
    <w:rsid w:val="00334889"/>
    <w:rsid w:val="00342553"/>
    <w:rsid w:val="00367C81"/>
    <w:rsid w:val="0038584C"/>
    <w:rsid w:val="003C2F7B"/>
    <w:rsid w:val="003C7DE7"/>
    <w:rsid w:val="003D175C"/>
    <w:rsid w:val="00400AB0"/>
    <w:rsid w:val="00404835"/>
    <w:rsid w:val="00422E92"/>
    <w:rsid w:val="00426BFF"/>
    <w:rsid w:val="00433012"/>
    <w:rsid w:val="00445BA7"/>
    <w:rsid w:val="004462CD"/>
    <w:rsid w:val="00465FAA"/>
    <w:rsid w:val="004D4E53"/>
    <w:rsid w:val="004D6D8C"/>
    <w:rsid w:val="004D7A83"/>
    <w:rsid w:val="004F158D"/>
    <w:rsid w:val="005370A8"/>
    <w:rsid w:val="0055093F"/>
    <w:rsid w:val="00551BB8"/>
    <w:rsid w:val="005523F4"/>
    <w:rsid w:val="00554A2B"/>
    <w:rsid w:val="00561255"/>
    <w:rsid w:val="00563E25"/>
    <w:rsid w:val="00574335"/>
    <w:rsid w:val="005A76AC"/>
    <w:rsid w:val="005C1B06"/>
    <w:rsid w:val="005C2D1F"/>
    <w:rsid w:val="005C3E21"/>
    <w:rsid w:val="005C6999"/>
    <w:rsid w:val="005F5F3C"/>
    <w:rsid w:val="0066094D"/>
    <w:rsid w:val="00687E9A"/>
    <w:rsid w:val="00692516"/>
    <w:rsid w:val="00694F8C"/>
    <w:rsid w:val="006A67BC"/>
    <w:rsid w:val="006B16C4"/>
    <w:rsid w:val="006B5FB9"/>
    <w:rsid w:val="006D1ED4"/>
    <w:rsid w:val="006F3AEC"/>
    <w:rsid w:val="00705116"/>
    <w:rsid w:val="0071687A"/>
    <w:rsid w:val="0074208C"/>
    <w:rsid w:val="00751285"/>
    <w:rsid w:val="00766A63"/>
    <w:rsid w:val="00781F34"/>
    <w:rsid w:val="00797510"/>
    <w:rsid w:val="007A2DF7"/>
    <w:rsid w:val="007E3DD8"/>
    <w:rsid w:val="007E774C"/>
    <w:rsid w:val="007F425B"/>
    <w:rsid w:val="00817F51"/>
    <w:rsid w:val="00824E9F"/>
    <w:rsid w:val="00826C3B"/>
    <w:rsid w:val="008468CE"/>
    <w:rsid w:val="00851854"/>
    <w:rsid w:val="008523AD"/>
    <w:rsid w:val="008619DF"/>
    <w:rsid w:val="00870CC8"/>
    <w:rsid w:val="00870F74"/>
    <w:rsid w:val="00872F9B"/>
    <w:rsid w:val="00883EE3"/>
    <w:rsid w:val="00886F79"/>
    <w:rsid w:val="008A5996"/>
    <w:rsid w:val="008B4057"/>
    <w:rsid w:val="008C0634"/>
    <w:rsid w:val="008C3C98"/>
    <w:rsid w:val="008F2E2D"/>
    <w:rsid w:val="0090639C"/>
    <w:rsid w:val="009068F1"/>
    <w:rsid w:val="00906EDB"/>
    <w:rsid w:val="00926CFB"/>
    <w:rsid w:val="00945AC3"/>
    <w:rsid w:val="00954430"/>
    <w:rsid w:val="00964C88"/>
    <w:rsid w:val="00981960"/>
    <w:rsid w:val="00984862"/>
    <w:rsid w:val="00991AB3"/>
    <w:rsid w:val="00991CB8"/>
    <w:rsid w:val="009955F3"/>
    <w:rsid w:val="009B6819"/>
    <w:rsid w:val="009D716F"/>
    <w:rsid w:val="009D7E39"/>
    <w:rsid w:val="009E2C84"/>
    <w:rsid w:val="009F75B4"/>
    <w:rsid w:val="00A24FC6"/>
    <w:rsid w:val="00A305D1"/>
    <w:rsid w:val="00A31622"/>
    <w:rsid w:val="00A37998"/>
    <w:rsid w:val="00A40D54"/>
    <w:rsid w:val="00A449F1"/>
    <w:rsid w:val="00A54C03"/>
    <w:rsid w:val="00A61072"/>
    <w:rsid w:val="00A629A3"/>
    <w:rsid w:val="00A764CA"/>
    <w:rsid w:val="00A93D9D"/>
    <w:rsid w:val="00AA2075"/>
    <w:rsid w:val="00AB7D2D"/>
    <w:rsid w:val="00AC0FAE"/>
    <w:rsid w:val="00AD4A89"/>
    <w:rsid w:val="00AD7B90"/>
    <w:rsid w:val="00AE19E8"/>
    <w:rsid w:val="00B079CD"/>
    <w:rsid w:val="00B25717"/>
    <w:rsid w:val="00B260C3"/>
    <w:rsid w:val="00B37370"/>
    <w:rsid w:val="00B566AC"/>
    <w:rsid w:val="00B63C11"/>
    <w:rsid w:val="00B71FBE"/>
    <w:rsid w:val="00B73C58"/>
    <w:rsid w:val="00B7616B"/>
    <w:rsid w:val="00B95076"/>
    <w:rsid w:val="00BB65A3"/>
    <w:rsid w:val="00C0487F"/>
    <w:rsid w:val="00C05AB2"/>
    <w:rsid w:val="00C154BA"/>
    <w:rsid w:val="00C224D9"/>
    <w:rsid w:val="00C36953"/>
    <w:rsid w:val="00C42D84"/>
    <w:rsid w:val="00C579EF"/>
    <w:rsid w:val="00C705A0"/>
    <w:rsid w:val="00C73942"/>
    <w:rsid w:val="00C73F48"/>
    <w:rsid w:val="00C816C6"/>
    <w:rsid w:val="00C97B3F"/>
    <w:rsid w:val="00C97E5D"/>
    <w:rsid w:val="00CC0D70"/>
    <w:rsid w:val="00CF2618"/>
    <w:rsid w:val="00CF31B9"/>
    <w:rsid w:val="00D14AC0"/>
    <w:rsid w:val="00D3490D"/>
    <w:rsid w:val="00D358C2"/>
    <w:rsid w:val="00D5196D"/>
    <w:rsid w:val="00D75EAA"/>
    <w:rsid w:val="00D77887"/>
    <w:rsid w:val="00D80F62"/>
    <w:rsid w:val="00D867AD"/>
    <w:rsid w:val="00DB04E9"/>
    <w:rsid w:val="00DC5985"/>
    <w:rsid w:val="00DC7C63"/>
    <w:rsid w:val="00DD6CE0"/>
    <w:rsid w:val="00DE05B5"/>
    <w:rsid w:val="00DF5B72"/>
    <w:rsid w:val="00E03DC8"/>
    <w:rsid w:val="00E07180"/>
    <w:rsid w:val="00E15FB8"/>
    <w:rsid w:val="00E16C1F"/>
    <w:rsid w:val="00E233C7"/>
    <w:rsid w:val="00E2749B"/>
    <w:rsid w:val="00E27721"/>
    <w:rsid w:val="00E37014"/>
    <w:rsid w:val="00E472BC"/>
    <w:rsid w:val="00E5799F"/>
    <w:rsid w:val="00E6415D"/>
    <w:rsid w:val="00E81360"/>
    <w:rsid w:val="00E92866"/>
    <w:rsid w:val="00E94232"/>
    <w:rsid w:val="00EB1824"/>
    <w:rsid w:val="00F17FF4"/>
    <w:rsid w:val="00F21190"/>
    <w:rsid w:val="00F23EF4"/>
    <w:rsid w:val="00F45F7C"/>
    <w:rsid w:val="00F47FE1"/>
    <w:rsid w:val="00F50F16"/>
    <w:rsid w:val="00F54DC5"/>
    <w:rsid w:val="00F5712D"/>
    <w:rsid w:val="00F72D55"/>
    <w:rsid w:val="00F93A10"/>
    <w:rsid w:val="00FA5E8C"/>
    <w:rsid w:val="00FC2A0F"/>
    <w:rsid w:val="00FE67EC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FBFD4"/>
  <w15:docId w15:val="{7E491BF6-6159-4056-A9B7-7AA29E9B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6D8C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E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E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09B"/>
  </w:style>
  <w:style w:type="paragraph" w:styleId="Footer">
    <w:name w:val="footer"/>
    <w:basedOn w:val="Normal"/>
    <w:link w:val="FooterChar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09B"/>
  </w:style>
  <w:style w:type="paragraph" w:styleId="ListBullet">
    <w:name w:val="List Bullet"/>
    <w:basedOn w:val="Normal"/>
    <w:uiPriority w:val="99"/>
    <w:unhideWhenUsed/>
    <w:rsid w:val="001E409B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9819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3EF4"/>
    <w:pPr>
      <w:spacing w:line="240" w:lineRule="auto"/>
    </w:pPr>
  </w:style>
  <w:style w:type="character" w:styleId="Strong">
    <w:name w:val="Strong"/>
    <w:qFormat/>
    <w:rsid w:val="001055FE"/>
    <w:rPr>
      <w:b/>
      <w:bCs/>
    </w:rPr>
  </w:style>
  <w:style w:type="paragraph" w:styleId="NormalWeb">
    <w:name w:val="Normal (Web)"/>
    <w:basedOn w:val="Normal"/>
    <w:uiPriority w:val="99"/>
    <w:unhideWhenUsed/>
    <w:rsid w:val="00FC2A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E2749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462CD"/>
    <w:pPr>
      <w:spacing w:line="240" w:lineRule="auto"/>
    </w:pPr>
    <w:rPr>
      <w:rFonts w:ascii="Calibri" w:eastAsia="Calibri" w:hAnsi="Calibri" w:cs="Times New Roman"/>
      <w:lang w:val="lv-L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-name">
    <w:name w:val="list-name"/>
    <w:basedOn w:val="DefaultParagraphFont"/>
    <w:rsid w:val="00F45F7C"/>
  </w:style>
  <w:style w:type="character" w:styleId="Hyperlink">
    <w:name w:val="Hyperlink"/>
    <w:basedOn w:val="DefaultParagraphFont"/>
    <w:uiPriority w:val="99"/>
    <w:unhideWhenUsed/>
    <w:rsid w:val="00F45F7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2F7B"/>
  </w:style>
  <w:style w:type="character" w:styleId="UnresolvedMention">
    <w:name w:val="Unresolved Mention"/>
    <w:basedOn w:val="DefaultParagraphFont"/>
    <w:uiPriority w:val="99"/>
    <w:semiHidden/>
    <w:unhideWhenUsed/>
    <w:rsid w:val="00E928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0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4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E2A96-B9F6-4875-AE35-BFAF2EE1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Aija</dc:creator>
  <cp:lastModifiedBy>Aija Erta</cp:lastModifiedBy>
  <cp:revision>2</cp:revision>
  <cp:lastPrinted>2021-01-08T08:28:00Z</cp:lastPrinted>
  <dcterms:created xsi:type="dcterms:W3CDTF">2026-04-11T07:43:00Z</dcterms:created>
  <dcterms:modified xsi:type="dcterms:W3CDTF">2026-04-11T07:43:00Z</dcterms:modified>
</cp:coreProperties>
</file>